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2AB91" w14:textId="77777777" w:rsidR="00242500" w:rsidRDefault="00242500" w:rsidP="00242500">
      <w:pPr>
        <w:spacing w:line="360" w:lineRule="auto"/>
        <w:jc w:val="center"/>
        <w:rPr>
          <w:rFonts w:ascii="Arial" w:hAnsi="Arial" w:cs="Arial"/>
          <w:b/>
        </w:rPr>
      </w:pPr>
      <w:r w:rsidRPr="00A9165D">
        <w:rPr>
          <w:rFonts w:ascii="Arial" w:hAnsi="Arial" w:cs="Arial"/>
          <w:b/>
        </w:rPr>
        <w:t>Bacillus Calmette-Guérin vaccination against bovine tuberculosis</w:t>
      </w:r>
      <w:r>
        <w:rPr>
          <w:rFonts w:ascii="Arial" w:hAnsi="Arial" w:cs="Arial"/>
          <w:b/>
        </w:rPr>
        <w:t>: Is Perfect the Enemy of Good?</w:t>
      </w:r>
    </w:p>
    <w:p w14:paraId="082CBEFC" w14:textId="77777777" w:rsidR="00242500" w:rsidRDefault="00242500" w:rsidP="00242500">
      <w:pPr>
        <w:spacing w:line="360" w:lineRule="auto"/>
        <w:jc w:val="center"/>
        <w:rPr>
          <w:rFonts w:ascii="Arial" w:hAnsi="Arial" w:cs="Arial"/>
          <w:b/>
        </w:rPr>
      </w:pPr>
    </w:p>
    <w:p w14:paraId="37A76CD7" w14:textId="77777777" w:rsidR="00242500" w:rsidRDefault="00242500" w:rsidP="00242500">
      <w:pPr>
        <w:spacing w:line="360" w:lineRule="auto"/>
        <w:jc w:val="center"/>
        <w:rPr>
          <w:rFonts w:ascii="Arial" w:hAnsi="Arial" w:cs="Arial"/>
        </w:rPr>
      </w:pPr>
      <w:r>
        <w:rPr>
          <w:rFonts w:ascii="Arial" w:hAnsi="Arial" w:cs="Arial"/>
        </w:rPr>
        <w:t>Sreenidhi Srinivasan</w:t>
      </w:r>
      <w:r>
        <w:rPr>
          <w:rFonts w:ascii="Arial" w:hAnsi="Arial" w:cs="Arial"/>
          <w:vertAlign w:val="superscript"/>
        </w:rPr>
        <w:t>1, 2</w:t>
      </w:r>
      <w:r>
        <w:rPr>
          <w:rFonts w:ascii="Arial" w:hAnsi="Arial" w:cs="Arial"/>
        </w:rPr>
        <w:t>, Andrew Conlan</w:t>
      </w:r>
      <w:r>
        <w:rPr>
          <w:rFonts w:ascii="Arial" w:hAnsi="Arial" w:cs="Arial"/>
          <w:vertAlign w:val="superscript"/>
        </w:rPr>
        <w:t>3</w:t>
      </w:r>
      <w:r>
        <w:rPr>
          <w:rFonts w:ascii="Arial" w:hAnsi="Arial" w:cs="Arial"/>
        </w:rPr>
        <w:t>, Laurel A. Easterling</w:t>
      </w:r>
      <w:r w:rsidRPr="00F07D48">
        <w:rPr>
          <w:rFonts w:ascii="Arial" w:hAnsi="Arial" w:cs="Arial"/>
          <w:vertAlign w:val="superscript"/>
        </w:rPr>
        <w:t>4</w:t>
      </w:r>
      <w:r>
        <w:rPr>
          <w:rFonts w:ascii="Arial" w:hAnsi="Arial" w:cs="Arial"/>
        </w:rPr>
        <w:t>, Christian Herrera</w:t>
      </w:r>
      <w:r>
        <w:rPr>
          <w:rFonts w:ascii="Arial" w:hAnsi="Arial" w:cs="Arial"/>
          <w:vertAlign w:val="superscript"/>
        </w:rPr>
        <w:t>1, 2</w:t>
      </w:r>
      <w:r>
        <w:rPr>
          <w:rFonts w:ascii="Arial" w:hAnsi="Arial" w:cs="Arial"/>
        </w:rPr>
        <w:t>, Premanshu Dandapat</w:t>
      </w:r>
      <w:r>
        <w:rPr>
          <w:rFonts w:ascii="Arial" w:hAnsi="Arial" w:cs="Arial"/>
          <w:vertAlign w:val="superscript"/>
        </w:rPr>
        <w:t>5</w:t>
      </w:r>
      <w:r>
        <w:rPr>
          <w:rFonts w:ascii="Arial" w:hAnsi="Arial" w:cs="Arial"/>
        </w:rPr>
        <w:t>, Maroudam Veerasami</w:t>
      </w:r>
      <w:r>
        <w:rPr>
          <w:rFonts w:ascii="Arial" w:hAnsi="Arial" w:cs="Arial"/>
          <w:vertAlign w:val="superscript"/>
        </w:rPr>
        <w:t>6</w:t>
      </w:r>
      <w:r>
        <w:rPr>
          <w:rFonts w:ascii="Arial" w:hAnsi="Arial" w:cs="Arial"/>
        </w:rPr>
        <w:t>, Gobena Ameni</w:t>
      </w:r>
      <w:r>
        <w:rPr>
          <w:rFonts w:ascii="Arial" w:hAnsi="Arial" w:cs="Arial"/>
          <w:vertAlign w:val="superscript"/>
        </w:rPr>
        <w:t>7</w:t>
      </w:r>
      <w:r>
        <w:rPr>
          <w:rFonts w:ascii="Arial" w:hAnsi="Arial" w:cs="Arial"/>
        </w:rPr>
        <w:t>, Naresh Jindal</w:t>
      </w:r>
      <w:r>
        <w:rPr>
          <w:rFonts w:ascii="Arial" w:hAnsi="Arial" w:cs="Arial"/>
          <w:vertAlign w:val="superscript"/>
        </w:rPr>
        <w:t>8</w:t>
      </w:r>
      <w:r>
        <w:rPr>
          <w:rFonts w:ascii="Arial" w:hAnsi="Arial" w:cs="Arial"/>
        </w:rPr>
        <w:t>, G. Dhinakar Raj</w:t>
      </w:r>
      <w:r>
        <w:rPr>
          <w:rFonts w:ascii="Arial" w:hAnsi="Arial" w:cs="Arial"/>
          <w:vertAlign w:val="superscript"/>
        </w:rPr>
        <w:t>9</w:t>
      </w:r>
      <w:r>
        <w:rPr>
          <w:rFonts w:ascii="Arial" w:hAnsi="Arial" w:cs="Arial"/>
        </w:rPr>
        <w:t>, James Wood</w:t>
      </w:r>
      <w:r>
        <w:rPr>
          <w:rFonts w:ascii="Arial" w:hAnsi="Arial" w:cs="Arial"/>
          <w:vertAlign w:val="superscript"/>
        </w:rPr>
        <w:t>3</w:t>
      </w:r>
      <w:r>
        <w:rPr>
          <w:rFonts w:ascii="Arial" w:hAnsi="Arial" w:cs="Arial"/>
        </w:rPr>
        <w:t>, Nick Juleff</w:t>
      </w:r>
      <w:r>
        <w:rPr>
          <w:rFonts w:ascii="Arial" w:hAnsi="Arial" w:cs="Arial"/>
          <w:vertAlign w:val="superscript"/>
        </w:rPr>
        <w:t>10</w:t>
      </w:r>
      <w:r>
        <w:rPr>
          <w:rFonts w:ascii="Arial" w:hAnsi="Arial" w:cs="Arial"/>
        </w:rPr>
        <w:t>,</w:t>
      </w:r>
      <w:r>
        <w:rPr>
          <w:rFonts w:ascii="Arial" w:hAnsi="Arial" w:cs="Arial"/>
          <w:vertAlign w:val="superscript"/>
        </w:rPr>
        <w:t xml:space="preserve"> </w:t>
      </w:r>
      <w:r>
        <w:rPr>
          <w:rFonts w:ascii="Arial" w:hAnsi="Arial" w:cs="Arial"/>
        </w:rPr>
        <w:t>Douwe Bakker</w:t>
      </w:r>
      <w:r>
        <w:rPr>
          <w:rFonts w:ascii="Arial" w:hAnsi="Arial" w:cs="Arial"/>
          <w:vertAlign w:val="superscript"/>
        </w:rPr>
        <w:t>11</w:t>
      </w:r>
      <w:r>
        <w:rPr>
          <w:rFonts w:ascii="Arial" w:hAnsi="Arial" w:cs="Arial"/>
        </w:rPr>
        <w:t>, Martin Vordermeier</w:t>
      </w:r>
      <w:r>
        <w:rPr>
          <w:rFonts w:ascii="Arial" w:hAnsi="Arial" w:cs="Arial"/>
          <w:vertAlign w:val="superscript"/>
        </w:rPr>
        <w:t>12, 13</w:t>
      </w:r>
      <w:r>
        <w:rPr>
          <w:rFonts w:ascii="Arial" w:hAnsi="Arial" w:cs="Arial"/>
        </w:rPr>
        <w:t>, Vivek Kapur</w:t>
      </w:r>
      <w:r>
        <w:rPr>
          <w:rFonts w:ascii="Arial" w:hAnsi="Arial" w:cs="Arial"/>
          <w:vertAlign w:val="superscript"/>
        </w:rPr>
        <w:t>1, 2 *</w:t>
      </w:r>
    </w:p>
    <w:p w14:paraId="2D073CCA" w14:textId="77777777" w:rsidR="00242500" w:rsidRPr="003903C0" w:rsidRDefault="00242500" w:rsidP="00242500">
      <w:pPr>
        <w:spacing w:line="360" w:lineRule="auto"/>
        <w:jc w:val="center"/>
        <w:rPr>
          <w:rFonts w:ascii="Arial" w:hAnsi="Arial" w:cs="Arial"/>
        </w:rPr>
      </w:pPr>
    </w:p>
    <w:p w14:paraId="09B3CC35" w14:textId="77777777" w:rsidR="00242500" w:rsidRDefault="00242500" w:rsidP="00242500">
      <w:pPr>
        <w:spacing w:line="360" w:lineRule="auto"/>
        <w:jc w:val="center"/>
        <w:rPr>
          <w:rFonts w:ascii="Arial" w:hAnsi="Arial" w:cs="Arial"/>
        </w:rPr>
      </w:pPr>
      <w:r>
        <w:rPr>
          <w:rFonts w:ascii="Arial" w:hAnsi="Arial" w:cs="Arial"/>
          <w:vertAlign w:val="superscript"/>
        </w:rPr>
        <w:t>1</w:t>
      </w:r>
      <w:r w:rsidRPr="003903C0">
        <w:rPr>
          <w:rFonts w:ascii="Arial" w:hAnsi="Arial" w:cs="Arial"/>
        </w:rPr>
        <w:t>Department of Animal Science, The Pennsylvania State University, Uni</w:t>
      </w:r>
      <w:r>
        <w:rPr>
          <w:rFonts w:ascii="Arial" w:hAnsi="Arial" w:cs="Arial"/>
        </w:rPr>
        <w:t xml:space="preserve">versity Park, Pennsylvania, USA; </w:t>
      </w:r>
      <w:r>
        <w:rPr>
          <w:rFonts w:ascii="Arial" w:hAnsi="Arial" w:cs="Arial"/>
          <w:vertAlign w:val="superscript"/>
        </w:rPr>
        <w:t xml:space="preserve">2 </w:t>
      </w:r>
      <w:r w:rsidRPr="003903C0">
        <w:rPr>
          <w:rFonts w:ascii="Arial" w:hAnsi="Arial" w:cs="Arial"/>
        </w:rPr>
        <w:t>The Huck Institutes of the Life Sciences, The Pennsylvania State University, Uni</w:t>
      </w:r>
      <w:r>
        <w:rPr>
          <w:rFonts w:ascii="Arial" w:hAnsi="Arial" w:cs="Arial"/>
        </w:rPr>
        <w:t xml:space="preserve">versity Park, Pennsylvania, USA; </w:t>
      </w:r>
      <w:r>
        <w:rPr>
          <w:rFonts w:ascii="Arial" w:hAnsi="Arial" w:cs="Arial"/>
          <w:vertAlign w:val="superscript"/>
        </w:rPr>
        <w:t xml:space="preserve">3 </w:t>
      </w:r>
      <w:r w:rsidRPr="003903C0">
        <w:rPr>
          <w:rFonts w:ascii="Arial" w:hAnsi="Arial" w:cs="Arial"/>
        </w:rPr>
        <w:t>Disease Dynamics Unit, Department of Veterinary Medicine, University of Cambridge, Cambridg</w:t>
      </w:r>
      <w:r>
        <w:rPr>
          <w:rFonts w:ascii="Arial" w:hAnsi="Arial" w:cs="Arial"/>
        </w:rPr>
        <w:t xml:space="preserve">e, UK; </w:t>
      </w:r>
      <w:r w:rsidRPr="00F07D48">
        <w:rPr>
          <w:rFonts w:ascii="Arial" w:hAnsi="Arial" w:cs="Arial"/>
          <w:vertAlign w:val="superscript"/>
        </w:rPr>
        <w:t>4</w:t>
      </w:r>
      <w:r>
        <w:rPr>
          <w:rFonts w:ascii="Arial" w:hAnsi="Arial" w:cs="Arial"/>
        </w:rPr>
        <w:t xml:space="preserve">School of Veterinary Medicine, University of Pennsylvania, Philadelphia, Pennsylvania, USA; </w:t>
      </w:r>
      <w:r w:rsidRPr="00301DF1">
        <w:rPr>
          <w:rFonts w:ascii="Arial" w:hAnsi="Arial" w:cs="Arial"/>
          <w:vertAlign w:val="superscript"/>
        </w:rPr>
        <w:t>5</w:t>
      </w:r>
      <w:r>
        <w:rPr>
          <w:rFonts w:ascii="Arial" w:hAnsi="Arial" w:cs="Arial"/>
        </w:rPr>
        <w:t xml:space="preserve">Indian Veterinary Research Institute, Eastern Regional Station – Kolkata, India; </w:t>
      </w:r>
      <w:r>
        <w:rPr>
          <w:rFonts w:ascii="Arial" w:hAnsi="Arial" w:cs="Arial"/>
          <w:vertAlign w:val="superscript"/>
        </w:rPr>
        <w:t>6</w:t>
      </w:r>
      <w:r>
        <w:rPr>
          <w:rFonts w:ascii="Arial" w:hAnsi="Arial" w:cs="Arial"/>
        </w:rPr>
        <w:t xml:space="preserve">Cisgen Biotech Discoveries Pvt Ltd, Chennai, India; </w:t>
      </w:r>
      <w:r>
        <w:rPr>
          <w:rFonts w:ascii="Arial" w:hAnsi="Arial" w:cs="Arial"/>
          <w:vertAlign w:val="superscript"/>
        </w:rPr>
        <w:t>7</w:t>
      </w:r>
      <w:r w:rsidRPr="00301DF1">
        <w:rPr>
          <w:rFonts w:ascii="Arial" w:hAnsi="Arial" w:cs="Arial"/>
        </w:rPr>
        <w:t>Aklilu</w:t>
      </w:r>
      <w:r w:rsidRPr="0082729D">
        <w:rPr>
          <w:rFonts w:ascii="Arial" w:hAnsi="Arial" w:cs="Arial"/>
        </w:rPr>
        <w:t xml:space="preserve"> Lemma Institute of</w:t>
      </w:r>
      <w:r>
        <w:rPr>
          <w:rFonts w:ascii="Arial" w:hAnsi="Arial" w:cs="Arial"/>
        </w:rPr>
        <w:t xml:space="preserve"> </w:t>
      </w:r>
      <w:r w:rsidRPr="0082729D">
        <w:rPr>
          <w:rFonts w:ascii="Arial" w:hAnsi="Arial" w:cs="Arial"/>
        </w:rPr>
        <w:t>Pathobiology, Addis Ababa University, Ethiopia</w:t>
      </w:r>
      <w:r>
        <w:rPr>
          <w:rFonts w:ascii="Arial" w:hAnsi="Arial" w:cs="Arial"/>
        </w:rPr>
        <w:t>;</w:t>
      </w:r>
      <w:r>
        <w:rPr>
          <w:rFonts w:ascii="Arial" w:hAnsi="Arial" w:cs="Arial"/>
          <w:vertAlign w:val="superscript"/>
        </w:rPr>
        <w:t xml:space="preserve"> 8</w:t>
      </w:r>
      <w:r w:rsidRPr="00E42C8D">
        <w:rPr>
          <w:rFonts w:ascii="Arial" w:hAnsi="Arial" w:cs="Arial"/>
          <w:vertAlign w:val="superscript"/>
        </w:rPr>
        <w:t>8</w:t>
      </w:r>
      <w:r>
        <w:rPr>
          <w:rFonts w:ascii="Arial" w:hAnsi="Arial" w:cs="Arial"/>
        </w:rPr>
        <w:t xml:space="preserve">Department of Veterinary Public Health and Epidemiology, Lala Lajpat Rai University of Veterinary and Animal Sciences, Hisar, India; </w:t>
      </w:r>
      <w:r>
        <w:rPr>
          <w:rFonts w:ascii="Arial" w:hAnsi="Arial" w:cs="Arial"/>
          <w:vertAlign w:val="superscript"/>
        </w:rPr>
        <w:t>9</w:t>
      </w:r>
      <w:r>
        <w:rPr>
          <w:rFonts w:ascii="Arial" w:hAnsi="Arial" w:cs="Arial"/>
        </w:rPr>
        <w:t xml:space="preserve">Translational Research Platform for Veterinary Biological – Tamil Nadu University of Veterinary and Animal Sciences, Chennai, India; </w:t>
      </w:r>
      <w:r>
        <w:rPr>
          <w:rFonts w:ascii="Arial" w:hAnsi="Arial" w:cs="Arial"/>
          <w:vertAlign w:val="superscript"/>
        </w:rPr>
        <w:t>10</w:t>
      </w:r>
      <w:r>
        <w:rPr>
          <w:rFonts w:ascii="Arial" w:hAnsi="Arial" w:cs="Arial"/>
        </w:rPr>
        <w:t>The Bill &amp; Melinda Gates Foundation, Seattle, USA;</w:t>
      </w:r>
      <w:r>
        <w:rPr>
          <w:rFonts w:ascii="Arial" w:hAnsi="Arial" w:cs="Arial"/>
          <w:vertAlign w:val="superscript"/>
        </w:rPr>
        <w:t xml:space="preserve"> 11</w:t>
      </w:r>
      <w:r w:rsidRPr="0082729D">
        <w:rPr>
          <w:rFonts w:ascii="Arial" w:hAnsi="Arial" w:cs="Arial"/>
        </w:rPr>
        <w:t>Technical Consultant</w:t>
      </w:r>
      <w:r>
        <w:rPr>
          <w:rFonts w:ascii="Arial" w:hAnsi="Arial" w:cs="Arial"/>
        </w:rPr>
        <w:t xml:space="preserve"> and Independent Researcher</w:t>
      </w:r>
      <w:r w:rsidRPr="0082729D">
        <w:rPr>
          <w:rFonts w:ascii="Arial" w:hAnsi="Arial" w:cs="Arial"/>
        </w:rPr>
        <w:t>, Lelystad, The</w:t>
      </w:r>
      <w:r>
        <w:rPr>
          <w:rFonts w:ascii="Arial" w:hAnsi="Arial" w:cs="Arial"/>
        </w:rPr>
        <w:t xml:space="preserve"> </w:t>
      </w:r>
      <w:r w:rsidRPr="0082729D">
        <w:rPr>
          <w:rFonts w:ascii="Arial" w:hAnsi="Arial" w:cs="Arial"/>
        </w:rPr>
        <w:t>Netherlands</w:t>
      </w:r>
      <w:r>
        <w:rPr>
          <w:rFonts w:ascii="Arial" w:hAnsi="Arial" w:cs="Arial"/>
        </w:rPr>
        <w:t xml:space="preserve">; </w:t>
      </w:r>
      <w:r>
        <w:rPr>
          <w:rFonts w:ascii="Arial" w:hAnsi="Arial" w:cs="Arial"/>
          <w:vertAlign w:val="superscript"/>
        </w:rPr>
        <w:t>12</w:t>
      </w:r>
      <w:r w:rsidRPr="0082729D">
        <w:rPr>
          <w:rFonts w:ascii="Arial" w:hAnsi="Arial" w:cs="Arial"/>
        </w:rPr>
        <w:t>Animal and Plant Health Agency,</w:t>
      </w:r>
      <w:r>
        <w:rPr>
          <w:rFonts w:ascii="Arial" w:hAnsi="Arial" w:cs="Arial"/>
        </w:rPr>
        <w:t xml:space="preserve"> </w:t>
      </w:r>
      <w:r w:rsidRPr="0082729D">
        <w:rPr>
          <w:rFonts w:ascii="Arial" w:hAnsi="Arial" w:cs="Arial"/>
        </w:rPr>
        <w:t xml:space="preserve">Surrey, United Kingdom; </w:t>
      </w:r>
      <w:r>
        <w:rPr>
          <w:rFonts w:ascii="Arial" w:hAnsi="Arial" w:cs="Arial"/>
          <w:vertAlign w:val="superscript"/>
        </w:rPr>
        <w:t>13</w:t>
      </w:r>
      <w:r w:rsidRPr="0082729D">
        <w:rPr>
          <w:rFonts w:ascii="Arial" w:hAnsi="Arial" w:cs="Arial"/>
        </w:rPr>
        <w:t>Centre for Bovine Tuberculosis, Institute for</w:t>
      </w:r>
      <w:r>
        <w:rPr>
          <w:rFonts w:ascii="Arial" w:hAnsi="Arial" w:cs="Arial"/>
        </w:rPr>
        <w:t xml:space="preserve"> </w:t>
      </w:r>
      <w:r w:rsidRPr="0082729D">
        <w:rPr>
          <w:rFonts w:ascii="Arial" w:hAnsi="Arial" w:cs="Arial"/>
        </w:rPr>
        <w:t>Biological, Environmental and Rural Sciences, University of Aberystwyth, Aberystwyth,</w:t>
      </w:r>
      <w:r>
        <w:rPr>
          <w:rFonts w:ascii="Arial" w:hAnsi="Arial" w:cs="Arial"/>
        </w:rPr>
        <w:t xml:space="preserve"> </w:t>
      </w:r>
      <w:r w:rsidRPr="0082729D">
        <w:rPr>
          <w:rFonts w:ascii="Arial" w:hAnsi="Arial" w:cs="Arial"/>
        </w:rPr>
        <w:t>UK</w:t>
      </w:r>
    </w:p>
    <w:p w14:paraId="51ADB0EB" w14:textId="77777777" w:rsidR="00242500" w:rsidRDefault="00242500" w:rsidP="00242500">
      <w:pPr>
        <w:spacing w:line="360" w:lineRule="auto"/>
        <w:jc w:val="center"/>
        <w:rPr>
          <w:rFonts w:ascii="Arial" w:hAnsi="Arial" w:cs="Arial"/>
        </w:rPr>
      </w:pPr>
    </w:p>
    <w:p w14:paraId="0F6912E5" w14:textId="77777777" w:rsidR="00242500" w:rsidRDefault="00242500" w:rsidP="00242500">
      <w:pPr>
        <w:spacing w:line="360" w:lineRule="auto"/>
        <w:jc w:val="both"/>
        <w:rPr>
          <w:rFonts w:ascii="Arial" w:hAnsi="Arial" w:cs="Arial"/>
        </w:rPr>
      </w:pPr>
      <w:r>
        <w:rPr>
          <w:rFonts w:ascii="Arial" w:hAnsi="Arial" w:cs="Arial"/>
        </w:rPr>
        <w:t>* correspondence to Vivek Kapur; vkapur@psu.edu</w:t>
      </w:r>
    </w:p>
    <w:p w14:paraId="4D06A7C5" w14:textId="77777777" w:rsidR="00242500" w:rsidRPr="008273E9" w:rsidRDefault="00242500" w:rsidP="00242500">
      <w:pPr>
        <w:spacing w:line="360" w:lineRule="auto"/>
        <w:jc w:val="center"/>
        <w:rPr>
          <w:rFonts w:ascii="Arial" w:hAnsi="Arial" w:cs="Arial"/>
          <w:b/>
        </w:rPr>
      </w:pPr>
    </w:p>
    <w:p w14:paraId="135EFC79" w14:textId="77777777" w:rsidR="00242500" w:rsidRPr="008273E9" w:rsidRDefault="00242500" w:rsidP="00242500">
      <w:pPr>
        <w:spacing w:line="360" w:lineRule="auto"/>
        <w:rPr>
          <w:rFonts w:ascii="Arial" w:hAnsi="Arial" w:cs="Arial"/>
        </w:rPr>
      </w:pPr>
    </w:p>
    <w:p w14:paraId="3E086182" w14:textId="77777777" w:rsidR="00242500" w:rsidRPr="008273E9" w:rsidRDefault="00242500" w:rsidP="00242500">
      <w:pPr>
        <w:spacing w:line="360" w:lineRule="auto"/>
        <w:jc w:val="center"/>
        <w:rPr>
          <w:rFonts w:ascii="Arial" w:hAnsi="Arial" w:cs="Arial"/>
        </w:rPr>
      </w:pPr>
    </w:p>
    <w:p w14:paraId="629190DD" w14:textId="77777777" w:rsidR="00242500" w:rsidRPr="008273E9" w:rsidRDefault="00242500" w:rsidP="00242500">
      <w:pPr>
        <w:spacing w:line="360" w:lineRule="auto"/>
        <w:jc w:val="center"/>
        <w:rPr>
          <w:rFonts w:ascii="Arial" w:hAnsi="Arial" w:cs="Arial"/>
        </w:rPr>
      </w:pPr>
    </w:p>
    <w:p w14:paraId="056F69EC" w14:textId="77777777" w:rsidR="00242500" w:rsidRPr="008273E9" w:rsidRDefault="00242500" w:rsidP="00242500">
      <w:pPr>
        <w:spacing w:line="360" w:lineRule="auto"/>
        <w:jc w:val="center"/>
        <w:rPr>
          <w:rFonts w:ascii="Arial" w:hAnsi="Arial" w:cs="Arial"/>
        </w:rPr>
      </w:pPr>
    </w:p>
    <w:p w14:paraId="1E3F2AF9" w14:textId="77777777" w:rsidR="00242500" w:rsidRPr="008273E9" w:rsidRDefault="00242500" w:rsidP="00242500">
      <w:pPr>
        <w:spacing w:line="360" w:lineRule="auto"/>
        <w:jc w:val="center"/>
        <w:rPr>
          <w:rFonts w:ascii="Arial" w:hAnsi="Arial" w:cs="Arial"/>
        </w:rPr>
      </w:pPr>
    </w:p>
    <w:p w14:paraId="78605AAF" w14:textId="77777777" w:rsidR="00242500" w:rsidRPr="008273E9" w:rsidRDefault="00242500" w:rsidP="00242500">
      <w:pPr>
        <w:spacing w:line="360" w:lineRule="auto"/>
        <w:jc w:val="center"/>
        <w:rPr>
          <w:rFonts w:ascii="Arial" w:hAnsi="Arial" w:cs="Arial"/>
        </w:rPr>
      </w:pPr>
    </w:p>
    <w:p w14:paraId="2383EFAD" w14:textId="77777777" w:rsidR="00242500" w:rsidRDefault="00242500" w:rsidP="00242500">
      <w:pPr>
        <w:spacing w:line="360" w:lineRule="auto"/>
        <w:jc w:val="center"/>
        <w:rPr>
          <w:rFonts w:ascii="Arial" w:hAnsi="Arial" w:cs="Arial"/>
        </w:rPr>
      </w:pPr>
    </w:p>
    <w:p w14:paraId="178E7C51" w14:textId="77777777" w:rsidR="00242500" w:rsidRPr="008273E9" w:rsidRDefault="00242500" w:rsidP="00242500">
      <w:pPr>
        <w:spacing w:line="360" w:lineRule="auto"/>
        <w:jc w:val="center"/>
        <w:rPr>
          <w:rFonts w:ascii="Arial" w:hAnsi="Arial" w:cs="Arial"/>
        </w:rPr>
      </w:pPr>
    </w:p>
    <w:p w14:paraId="5043F94E" w14:textId="77777777" w:rsidR="00242500" w:rsidRPr="008273E9" w:rsidRDefault="00242500" w:rsidP="00242500">
      <w:pPr>
        <w:spacing w:line="360" w:lineRule="auto"/>
        <w:jc w:val="center"/>
        <w:rPr>
          <w:rFonts w:ascii="Arial" w:hAnsi="Arial" w:cs="Arial"/>
        </w:rPr>
      </w:pPr>
    </w:p>
    <w:p w14:paraId="5AC002EC" w14:textId="77777777" w:rsidR="00242500" w:rsidRDefault="00242500" w:rsidP="00242500">
      <w:pPr>
        <w:spacing w:line="360" w:lineRule="auto"/>
        <w:jc w:val="both"/>
        <w:outlineLvl w:val="0"/>
        <w:rPr>
          <w:rFonts w:ascii="Arial" w:hAnsi="Arial" w:cs="Arial"/>
          <w:b/>
          <w:bCs/>
        </w:rPr>
      </w:pPr>
      <w:r w:rsidRPr="008273E9">
        <w:rPr>
          <w:rFonts w:ascii="Arial" w:hAnsi="Arial" w:cs="Arial"/>
          <w:b/>
          <w:bCs/>
        </w:rPr>
        <w:t xml:space="preserve">Abstract </w:t>
      </w:r>
    </w:p>
    <w:p w14:paraId="133CEC8E" w14:textId="77777777" w:rsidR="00242500" w:rsidRDefault="00242500" w:rsidP="00242500">
      <w:pPr>
        <w:spacing w:line="360" w:lineRule="auto"/>
        <w:jc w:val="both"/>
        <w:outlineLvl w:val="0"/>
        <w:rPr>
          <w:rFonts w:ascii="Arial" w:hAnsi="Arial" w:cs="Arial"/>
          <w:bCs/>
        </w:rPr>
      </w:pPr>
      <w:r>
        <w:rPr>
          <w:rFonts w:ascii="Arial" w:hAnsi="Arial" w:cs="Arial"/>
          <w:bCs/>
        </w:rPr>
        <w:t>More than</w:t>
      </w:r>
      <w:r w:rsidRPr="008273E9">
        <w:rPr>
          <w:rFonts w:ascii="Arial" w:hAnsi="Arial" w:cs="Arial"/>
          <w:bCs/>
        </w:rPr>
        <w:t xml:space="preserve"> 50 million cattle are likely</w:t>
      </w:r>
      <w:r>
        <w:rPr>
          <w:rFonts w:ascii="Arial" w:hAnsi="Arial" w:cs="Arial"/>
          <w:bCs/>
        </w:rPr>
        <w:t xml:space="preserve"> exposed to</w:t>
      </w:r>
      <w:r w:rsidRPr="008273E9">
        <w:rPr>
          <w:rFonts w:ascii="Arial" w:hAnsi="Arial" w:cs="Arial"/>
          <w:bCs/>
        </w:rPr>
        <w:t xml:space="preserve"> </w:t>
      </w:r>
      <w:r>
        <w:rPr>
          <w:rFonts w:ascii="Arial" w:hAnsi="Arial" w:cs="Arial"/>
          <w:bCs/>
        </w:rPr>
        <w:t xml:space="preserve">bovine tuberculosis (bTB) </w:t>
      </w:r>
      <w:r w:rsidRPr="008273E9">
        <w:rPr>
          <w:rFonts w:ascii="Arial" w:hAnsi="Arial" w:cs="Arial"/>
          <w:bCs/>
        </w:rPr>
        <w:t>worldwide</w:t>
      </w:r>
      <w:r>
        <w:rPr>
          <w:rFonts w:ascii="Arial" w:hAnsi="Arial" w:cs="Arial"/>
          <w:bCs/>
        </w:rPr>
        <w:t xml:space="preserve">, </w:t>
      </w:r>
      <w:r w:rsidRPr="008273E9">
        <w:rPr>
          <w:rFonts w:ascii="Arial" w:hAnsi="Arial" w:cs="Arial"/>
          <w:bCs/>
        </w:rPr>
        <w:t>highlight</w:t>
      </w:r>
      <w:r>
        <w:rPr>
          <w:rFonts w:ascii="Arial" w:hAnsi="Arial" w:cs="Arial"/>
          <w:bCs/>
        </w:rPr>
        <w:t>ing</w:t>
      </w:r>
      <w:r w:rsidRPr="008273E9">
        <w:rPr>
          <w:rFonts w:ascii="Arial" w:hAnsi="Arial" w:cs="Arial"/>
          <w:bCs/>
        </w:rPr>
        <w:t xml:space="preserve"> </w:t>
      </w:r>
      <w:r>
        <w:rPr>
          <w:rFonts w:ascii="Arial" w:hAnsi="Arial" w:cs="Arial"/>
          <w:bCs/>
        </w:rPr>
        <w:t xml:space="preserve">a </w:t>
      </w:r>
      <w:r w:rsidRPr="008273E9">
        <w:rPr>
          <w:rFonts w:ascii="Arial" w:hAnsi="Arial" w:cs="Arial"/>
          <w:bCs/>
        </w:rPr>
        <w:t xml:space="preserve">need for </w:t>
      </w:r>
      <w:r>
        <w:rPr>
          <w:rFonts w:ascii="Arial" w:hAnsi="Arial" w:cs="Arial"/>
          <w:bCs/>
        </w:rPr>
        <w:t>vaccination in regions</w:t>
      </w:r>
      <w:r w:rsidRPr="008273E9">
        <w:rPr>
          <w:rFonts w:ascii="Arial" w:hAnsi="Arial" w:cs="Arial"/>
          <w:bCs/>
        </w:rPr>
        <w:t xml:space="preserve"> where </w:t>
      </w:r>
      <w:r>
        <w:rPr>
          <w:rFonts w:ascii="Arial" w:hAnsi="Arial" w:cs="Arial"/>
          <w:bCs/>
        </w:rPr>
        <w:t>bTB</w:t>
      </w:r>
      <w:r w:rsidRPr="008273E9">
        <w:rPr>
          <w:rFonts w:ascii="Arial" w:hAnsi="Arial" w:cs="Arial"/>
          <w:bCs/>
        </w:rPr>
        <w:t xml:space="preserve"> is endemic and test-and-slaughter </w:t>
      </w:r>
      <w:r>
        <w:rPr>
          <w:rFonts w:ascii="Arial" w:hAnsi="Arial" w:cs="Arial"/>
          <w:bCs/>
        </w:rPr>
        <w:t>approaches are unfeasible.</w:t>
      </w:r>
      <w:r w:rsidRPr="008273E9">
        <w:rPr>
          <w:rFonts w:ascii="Arial" w:hAnsi="Arial" w:cs="Arial"/>
          <w:bCs/>
        </w:rPr>
        <w:t xml:space="preserve"> </w:t>
      </w:r>
      <w:r>
        <w:rPr>
          <w:rFonts w:ascii="Arial" w:hAnsi="Arial" w:cs="Arial"/>
        </w:rPr>
        <w:t>B</w:t>
      </w:r>
      <w:r w:rsidRPr="008273E9">
        <w:rPr>
          <w:rFonts w:ascii="Arial" w:hAnsi="Arial" w:cs="Arial"/>
        </w:rPr>
        <w:t>acill</w:t>
      </w:r>
      <w:r>
        <w:rPr>
          <w:rFonts w:ascii="Arial" w:hAnsi="Arial" w:cs="Arial"/>
        </w:rPr>
        <w:t>us</w:t>
      </w:r>
      <w:r w:rsidRPr="008273E9">
        <w:rPr>
          <w:rFonts w:ascii="Arial" w:hAnsi="Arial" w:cs="Arial"/>
        </w:rPr>
        <w:t xml:space="preserve"> Calmette-Guérin (BCG)</w:t>
      </w:r>
      <w:r>
        <w:rPr>
          <w:rFonts w:ascii="Arial" w:hAnsi="Arial" w:cs="Arial"/>
        </w:rPr>
        <w:t xml:space="preserve"> was first evaluated as a vaccine in cattle even before its widespread use in humans</w:t>
      </w:r>
      <w:r>
        <w:rPr>
          <w:rFonts w:ascii="Arial" w:hAnsi="Arial" w:cs="Arial"/>
          <w:bCs/>
        </w:rPr>
        <w:t xml:space="preserve">, yet its efficacy in cattle remains poorly understood. We performed a systematic review and meta-analysis on the efficacy of BCG against bTB challenge in </w:t>
      </w:r>
      <w:r w:rsidRPr="00CA079A">
        <w:rPr>
          <w:rFonts w:ascii="Arial" w:hAnsi="Arial" w:cs="Arial"/>
          <w:bCs/>
        </w:rPr>
        <w:t>cattl</w:t>
      </w:r>
      <w:r>
        <w:rPr>
          <w:rFonts w:ascii="Arial" w:hAnsi="Arial" w:cs="Arial"/>
          <w:bCs/>
        </w:rPr>
        <w:t xml:space="preserve">e, which demonstrated </w:t>
      </w:r>
      <w:r w:rsidRPr="008273E9">
        <w:rPr>
          <w:rFonts w:ascii="Arial" w:hAnsi="Arial" w:cs="Arial"/>
          <w:bCs/>
        </w:rPr>
        <w:t xml:space="preserve">a </w:t>
      </w:r>
      <w:r>
        <w:rPr>
          <w:rFonts w:ascii="Arial" w:hAnsi="Arial" w:cs="Arial"/>
          <w:bCs/>
        </w:rPr>
        <w:t xml:space="preserve">relative </w:t>
      </w:r>
      <w:r w:rsidRPr="008273E9">
        <w:rPr>
          <w:rFonts w:ascii="Arial" w:hAnsi="Arial" w:cs="Arial"/>
          <w:bCs/>
        </w:rPr>
        <w:t>risk</w:t>
      </w:r>
      <w:r>
        <w:rPr>
          <w:rFonts w:ascii="Arial" w:hAnsi="Arial" w:cs="Arial"/>
          <w:bCs/>
        </w:rPr>
        <w:t xml:space="preserve"> </w:t>
      </w:r>
      <w:r w:rsidRPr="008273E9">
        <w:rPr>
          <w:rFonts w:ascii="Arial" w:hAnsi="Arial" w:cs="Arial"/>
          <w:bCs/>
        </w:rPr>
        <w:t xml:space="preserve">of </w:t>
      </w:r>
      <w:r>
        <w:rPr>
          <w:rFonts w:ascii="Arial" w:hAnsi="Arial" w:cs="Arial"/>
          <w:bCs/>
        </w:rPr>
        <w:t xml:space="preserve">infection of </w:t>
      </w:r>
      <w:r>
        <w:rPr>
          <w:rFonts w:ascii="Arial" w:hAnsi="Arial" w:cs="Arial"/>
        </w:rPr>
        <w:t xml:space="preserve">0.75 (95% CI: 0.69, 0.82) in 1873 vaccinates as compared with 1632 controls, corresponding to a vaccine efficacy of 25% (95% CI: 18, 31), as measured by the presence of visible lesions and/or culture. We also assessed the evidence for BCG in reducing transmission of bTB in cattle from experimental challenge and field trials, and used herd level transmission dynamic models to explore the overall impact of BCG in cattle populations in low- and middle-income countries (LMICs). These analyses suggest that </w:t>
      </w:r>
      <w:r>
        <w:rPr>
          <w:rFonts w:ascii="Arial" w:hAnsi="Arial" w:cs="Arial"/>
          <w:bCs/>
        </w:rPr>
        <w:t xml:space="preserve">BCG vaccination has the potential to substantially accelerate control of bTB in endemic settings, and that early implementation may be of particular utility in the face of dairy intensification in </w:t>
      </w:r>
      <w:r>
        <w:rPr>
          <w:rFonts w:ascii="Arial" w:hAnsi="Arial" w:cs="Arial"/>
        </w:rPr>
        <w:t>LMICs</w:t>
      </w:r>
      <w:r>
        <w:rPr>
          <w:rFonts w:ascii="Arial" w:hAnsi="Arial" w:cs="Arial"/>
          <w:bCs/>
        </w:rPr>
        <w:t>.</w:t>
      </w:r>
    </w:p>
    <w:p w14:paraId="56F91A6A" w14:textId="77777777" w:rsidR="00171698" w:rsidRDefault="00242500">
      <w:bookmarkStart w:id="0" w:name="_GoBack"/>
      <w:bookmarkEnd w:id="0"/>
    </w:p>
    <w:sectPr w:rsidR="00171698" w:rsidSect="001917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00"/>
    <w:rsid w:val="00006368"/>
    <w:rsid w:val="00156A87"/>
    <w:rsid w:val="0019175C"/>
    <w:rsid w:val="00193CB2"/>
    <w:rsid w:val="001C7E21"/>
    <w:rsid w:val="00242500"/>
    <w:rsid w:val="00274AF4"/>
    <w:rsid w:val="002828AD"/>
    <w:rsid w:val="003748B3"/>
    <w:rsid w:val="00397929"/>
    <w:rsid w:val="00512075"/>
    <w:rsid w:val="00572BC8"/>
    <w:rsid w:val="005A083E"/>
    <w:rsid w:val="005C3D11"/>
    <w:rsid w:val="006000DA"/>
    <w:rsid w:val="0064545A"/>
    <w:rsid w:val="00683872"/>
    <w:rsid w:val="0078716B"/>
    <w:rsid w:val="007A1739"/>
    <w:rsid w:val="007C2C42"/>
    <w:rsid w:val="00856D8D"/>
    <w:rsid w:val="008E1A45"/>
    <w:rsid w:val="0090127B"/>
    <w:rsid w:val="00933FD6"/>
    <w:rsid w:val="00961D05"/>
    <w:rsid w:val="00964F9F"/>
    <w:rsid w:val="00984A59"/>
    <w:rsid w:val="00A45679"/>
    <w:rsid w:val="00A9618B"/>
    <w:rsid w:val="00AB154A"/>
    <w:rsid w:val="00AC1F58"/>
    <w:rsid w:val="00AE4182"/>
    <w:rsid w:val="00BB17D4"/>
    <w:rsid w:val="00BB72A7"/>
    <w:rsid w:val="00C47773"/>
    <w:rsid w:val="00C77C5D"/>
    <w:rsid w:val="00CF2272"/>
    <w:rsid w:val="00E11E8D"/>
    <w:rsid w:val="00E20ABB"/>
    <w:rsid w:val="00EC5D92"/>
    <w:rsid w:val="00F36989"/>
    <w:rsid w:val="00F9662A"/>
    <w:rsid w:val="00FB4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925D"/>
  <w15:chartTrackingRefBased/>
  <w15:docId w15:val="{2AA955A6-BA14-E148-9EA7-C82857DA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250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2463</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Sreenidhi Srinivasan</dc:creator>
  <cp:keywords/>
  <dc:description/>
  <cp:lastModifiedBy>Sreenidhi Srinivasan</cp:lastModifiedBy>
  <cp:revision>1</cp:revision>
  <dcterms:created xsi:type="dcterms:W3CDTF">2020-05-14T20:00:00Z</dcterms:created>
  <dcterms:modified xsi:type="dcterms:W3CDTF">2020-05-14T20:00:00Z</dcterms:modified>
</cp:coreProperties>
</file>