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728FA" w14:textId="2AFDD1F8" w:rsidR="000440E9" w:rsidRDefault="000440E9">
      <w:pPr>
        <w:rPr>
          <w:rFonts w:asciiTheme="majorHAnsi" w:hAnsiTheme="majorHAnsi" w:cstheme="majorHAnsi"/>
          <w:noProof/>
          <w:sz w:val="24"/>
          <w:szCs w:val="24"/>
          <w:lang w:val="en-US"/>
        </w:rPr>
      </w:pPr>
      <w:r w:rsidRPr="00D73519">
        <w:rPr>
          <w:rFonts w:asciiTheme="majorHAnsi" w:hAnsiTheme="majorHAnsi" w:cstheme="majorHAnsi"/>
          <w:b/>
          <w:bCs/>
          <w:noProof/>
          <w:sz w:val="24"/>
          <w:szCs w:val="24"/>
          <w:lang w:val="en-US"/>
        </w:rPr>
        <w:t>References</w:t>
      </w:r>
      <w:r>
        <w:rPr>
          <w:rFonts w:asciiTheme="majorHAnsi" w:hAnsiTheme="majorHAnsi" w:cstheme="majorHAnsi"/>
          <w:noProof/>
          <w:sz w:val="24"/>
          <w:szCs w:val="24"/>
          <w:lang w:val="en-US"/>
        </w:rPr>
        <w:t xml:space="preserve"> for all studies summarized in the file </w:t>
      </w:r>
      <w:r w:rsidR="00F50A58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“</w:t>
      </w:r>
      <w:r w:rsidR="00627AD6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Suppl</w:t>
      </w:r>
      <w:r w:rsidR="0082388B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MatS2_StudiesSummary.xl</w:t>
      </w:r>
      <w:r w:rsidR="00935FDC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s</w:t>
      </w:r>
      <w:r w:rsidR="0082388B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x</w:t>
      </w:r>
      <w:r w:rsidR="003A3DCF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”</w:t>
      </w:r>
      <w:r>
        <w:rPr>
          <w:rFonts w:asciiTheme="majorHAnsi" w:hAnsiTheme="majorHAnsi" w:cstheme="majorHAnsi"/>
          <w:noProof/>
          <w:sz w:val="24"/>
          <w:szCs w:val="24"/>
          <w:lang w:val="en-US"/>
        </w:rPr>
        <w:t xml:space="preserve">, which were synthesized in the article </w:t>
      </w:r>
      <w:r w:rsidR="002830A9">
        <w:rPr>
          <w:rFonts w:asciiTheme="majorHAnsi" w:hAnsiTheme="majorHAnsi" w:cstheme="majorHAnsi"/>
          <w:noProof/>
          <w:sz w:val="24"/>
          <w:szCs w:val="24"/>
          <w:lang w:val="en-US"/>
        </w:rPr>
        <w:t>“</w:t>
      </w:r>
      <w:r w:rsidR="002830A9" w:rsidRPr="002830A9">
        <w:rPr>
          <w:rFonts w:asciiTheme="majorHAnsi" w:hAnsiTheme="majorHAnsi" w:cstheme="majorHAnsi"/>
          <w:noProof/>
          <w:sz w:val="24"/>
          <w:szCs w:val="24"/>
          <w:lang w:val="en-US"/>
        </w:rPr>
        <w:t xml:space="preserve">Forest trees adaptation to climate across biomes: Building on the legacy of ecological genetics to anticipate responses to climate change" by Leites and Benito-Garzón, published in </w:t>
      </w:r>
      <w:r w:rsidR="002830A9" w:rsidRPr="007D528F">
        <w:rPr>
          <w:rFonts w:asciiTheme="majorHAnsi" w:hAnsiTheme="majorHAnsi" w:cstheme="majorHAnsi"/>
          <w:i/>
          <w:iCs/>
          <w:noProof/>
          <w:sz w:val="24"/>
          <w:szCs w:val="24"/>
          <w:lang w:val="en-US"/>
        </w:rPr>
        <w:t>Global Change Biology</w:t>
      </w:r>
      <w:r w:rsidR="00D73519">
        <w:rPr>
          <w:rFonts w:asciiTheme="majorHAnsi" w:hAnsiTheme="majorHAnsi" w:cstheme="majorHAnsi"/>
          <w:noProof/>
          <w:sz w:val="24"/>
          <w:szCs w:val="24"/>
          <w:lang w:val="en-US"/>
        </w:rPr>
        <w:t xml:space="preserve"> </w:t>
      </w:r>
      <w:r w:rsidR="00D73519" w:rsidRPr="00D73519">
        <w:rPr>
          <w:rFonts w:asciiTheme="majorHAnsi" w:hAnsiTheme="majorHAnsi" w:cstheme="majorHAnsi"/>
          <w:noProof/>
          <w:sz w:val="24"/>
          <w:szCs w:val="24"/>
          <w:lang w:val="en-US"/>
        </w:rPr>
        <w:t>(issue number and pages to be determined)</w:t>
      </w:r>
    </w:p>
    <w:p w14:paraId="7F69FDF5" w14:textId="081ABC1C" w:rsidR="0025099C" w:rsidRDefault="00F12935">
      <w:pPr>
        <w:rPr>
          <w:rFonts w:asciiTheme="majorHAnsi" w:hAnsiTheme="majorHAnsi" w:cstheme="majorHAnsi"/>
          <w:noProof/>
          <w:sz w:val="24"/>
          <w:szCs w:val="24"/>
          <w:lang w:val="en-US"/>
        </w:rPr>
      </w:pPr>
      <w:r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 xml:space="preserve">We note that even though some of these studies did not reanalyze </w:t>
      </w:r>
      <w:r w:rsidR="00585CC9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data from provenance tri</w:t>
      </w:r>
      <w:r w:rsidR="00520ED5">
        <w:rPr>
          <w:rFonts w:asciiTheme="majorHAnsi" w:hAnsiTheme="majorHAnsi" w:cstheme="majorHAnsi"/>
          <w:noProof/>
          <w:sz w:val="24"/>
          <w:szCs w:val="24"/>
          <w:lang w:val="en-US"/>
        </w:rPr>
        <w:t>a</w:t>
      </w:r>
      <w:r w:rsidR="00585CC9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>ls, they are still included as they provide information on intraspecific variation of understudie</w:t>
      </w:r>
      <w:r w:rsidR="002C7711">
        <w:rPr>
          <w:rFonts w:asciiTheme="majorHAnsi" w:hAnsiTheme="majorHAnsi" w:cstheme="majorHAnsi"/>
          <w:noProof/>
          <w:sz w:val="24"/>
          <w:szCs w:val="24"/>
          <w:lang w:val="en-US"/>
        </w:rPr>
        <w:t>d</w:t>
      </w:r>
      <w:r w:rsidR="00585CC9" w:rsidRPr="00052A57">
        <w:rPr>
          <w:rFonts w:asciiTheme="majorHAnsi" w:hAnsiTheme="majorHAnsi" w:cstheme="majorHAnsi"/>
          <w:noProof/>
          <w:sz w:val="24"/>
          <w:szCs w:val="24"/>
          <w:lang w:val="en-US"/>
        </w:rPr>
        <w:t xml:space="preserve"> species.</w:t>
      </w:r>
    </w:p>
    <w:p w14:paraId="04AF4608" w14:textId="77777777" w:rsidR="00D73519" w:rsidRPr="00052A57" w:rsidRDefault="00D73519">
      <w:pPr>
        <w:rPr>
          <w:rFonts w:asciiTheme="majorHAnsi" w:hAnsiTheme="majorHAnsi" w:cstheme="majorHAnsi"/>
          <w:noProof/>
          <w:sz w:val="24"/>
          <w:szCs w:val="24"/>
          <w:lang w:val="en-US"/>
        </w:rPr>
      </w:pPr>
    </w:p>
    <w:p w14:paraId="0757198D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fldChar w:fldCharType="begin"/>
      </w:r>
      <w:r w:rsidRPr="00052A57">
        <w:rPr>
          <w:rFonts w:ascii="Times New Roman" w:hAnsi="Times New Roman" w:cs="Times New Roman"/>
          <w:sz w:val="16"/>
          <w:szCs w:val="16"/>
        </w:rPr>
        <w:instrText xml:space="preserve"> ADDIN ZOTERO_BIBL {"uncited":[],"omitted":[],"custom":[]} CSL_BIBLIOGRAPHY </w:instrTex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fldChar w:fldCharType="separate"/>
      </w:r>
      <w:r w:rsidRPr="00052A57">
        <w:rPr>
          <w:rFonts w:ascii="Times New Roman" w:hAnsi="Times New Roman" w:cs="Times New Roman"/>
          <w:sz w:val="16"/>
          <w:szCs w:val="16"/>
        </w:rPr>
        <w:t xml:space="preserve">Andalo, C., Beaulieu, J., &amp; Bousquet, J. (2005).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The impact of climate change on growth of local white spruce populations in Québec, Canada.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205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169–182. https://doi.org/10.1016/j.foreco.2004.10.045</w:t>
      </w:r>
    </w:p>
    <w:p w14:paraId="337BDD0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Archambeau, J., Benito Garzón, M., Barraquand, F., de Miguel, M., Plomion, C., &amp; González-Martínez, S. C. (2022). Combining Climatic and Genomic Data Improves Range-Wide Tree Height Growth Prediction in a Forest Tree.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The American Naturalist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E000–E000. https://doi.org/10.1086/720619</w:t>
      </w:r>
    </w:p>
    <w:p w14:paraId="31DB7F8E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Bansal, S., Harrington, C. A., Gould, P. J., &amp; St.Clair, J. B. (2015). Climate-related genetic variation in drought-resistance of Douglas-fir (Pseudotsuga menziesii).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947–958. https://doi.org/10.1111/gcb.12719</w:t>
      </w:r>
    </w:p>
    <w:p w14:paraId="4CB949E5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Beaulieu, J., &amp; Rainville, A. (2011). Adaptation to climate change: Genetic variation is both a short- and a long-term solution.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The Forestry Chronicle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. https://doi.org/10.5558/tfc81704-5</w:t>
      </w:r>
    </w:p>
    <w:p w14:paraId="7B54B1D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Benito Garzón, M. (2021). Phenotypic integration approaches predict a decrease of reproduction rates of Caribbean pine populations in dry tropical areas.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Annals of Forest Science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1–19. https://doi.org/DOI: 10.1007/s13595-021-01076-x</w:t>
      </w:r>
    </w:p>
    <w:p w14:paraId="7B36F17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Benito Garzón, M., Alía, R., Robson, T. M., &amp; Zavala, M. A. (2011). Intra-specific variability and plasticity influence potential tree species distributions under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Ecology and Biogeography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(5), 766–778. https://doi.org/10.1111/j.1466-8238.2010.00646.x</w:t>
      </w:r>
    </w:p>
    <w:p w14:paraId="05DA98A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Benito Garzón, M., Robson, T. M., &amp; Hampe, A. (2019). </w:t>
      </w:r>
      <w:r w:rsidRPr="00052A57">
        <w:rPr>
          <w:rFonts w:ascii="Times New Roman" w:hAnsi="Times New Roman" w:cs="Times New Roman"/>
          <w:sz w:val="16"/>
          <w:szCs w:val="16"/>
        </w:rPr>
        <w:t>Δ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TraitSDMs: Species distribution models that account for local adaptation and phenotypic plasticity.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New Phytologist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222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1757–1765. https://doi.org/10.1111/nph.15716</w:t>
      </w:r>
    </w:p>
    <w:p w14:paraId="2E20307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Benito Garzón, M., &amp; Vizcaíno-Palomar, N. (2021). Biogeographical Patterns of Local Adaptation and Plasticity of Mediterranean Pines and Their Implications Under Climate Change. In G. Ne’eman &amp; Y. Osem (Eds.),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Pines and Their Mixed Forest Ecosystems in the Mediterranean Basin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 (pp. 71–82). Springer International Publishing. https://doi.org/10.1007/978-3-030-63625-8_4</w:t>
      </w:r>
    </w:p>
    <w:p w14:paraId="23EF21BD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Berlin, M., Persson, T., Jansson, G., Haapanen, M., Ruotsalainen, S., Bärring, L., &amp; Andersson Gull, B. (2016). Scots pine transfer effect models for growth and survival in Sweden and Finland.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Silva Fennica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(3). https://doi.org/10.14214/sf.1562</w:t>
      </w:r>
    </w:p>
    <w:p w14:paraId="27EE1C7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Boshier, D., &amp; Stewart, J. (2005). How local is local? Identifying the scale of adaptive variation in ash (Fraxinus excelsior L.): results from the nursery.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Forestry: An International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135–143. https://doi.org/10.1093/forestry/cpi013</w:t>
      </w:r>
    </w:p>
    <w:p w14:paraId="74C6BBA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Buras, A., Sass-Klaassen, U., Verbeek, I., &amp; Copini, P. (2020). Provenance selection and site conditions determine growth performance of pedunculate oak.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Dendrochronologia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125705. https://doi.org/10.1016/j.dendro.2020.125705</w:t>
      </w:r>
    </w:p>
    <w:p w14:paraId="071AA96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Carrasquinho, I., &amp; Gonçalves, E. (2013). Genetic variability among Pinus pinea L. provenances for survival and growth traits in Portugal.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Tree Genetics &amp; Genomes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855–866. https://doi.org/10.1007/s11295-013-0603-2</w:t>
      </w:r>
    </w:p>
    <w:p w14:paraId="24E187E5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Carter, K. K. (1996). Provenance tests as Indicators of growth response to climate change in 10 north temperate tree species.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Canadian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26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1089–1095. https://doi.org/10.1139/x26-120</w:t>
      </w:r>
    </w:p>
    <w:p w14:paraId="7B272DD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Castellanos-Acuña, D., Lindig-Cisneros, R., &amp; Sáenz-Romero, C. (2015). Altitudinal assisted migration of Mexican pines as an adaptation to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Ecosphere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art2. https://doi.org/10.1890/ES14-00375.1</w:t>
      </w:r>
    </w:p>
    <w:p w14:paraId="291750AD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Chakraborty, D., Wang, T., Andre, K., Konnert, M., Lexer, M. J., Matulla, C., &amp; Schueler, S. (2015). Selecting Populations for Non-Analogous Climate Conditions Using Universal Response Functions: The Case of Douglas-Fir in Central Europe.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PloS One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(8), e0136357. https://doi.org/10.1371/journal.pone.0136357</w:t>
      </w:r>
    </w:p>
    <w:p w14:paraId="7E7ECB25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Chhin, S., Zalesny, R. S., Parker, W. C., &amp; Brissette, J. (2018). Dendroclimatic analysis of white pine (Pinus strobus L.) using long-term provenance test sites across eastern North America.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Ecosystems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18. https://doi.org/10.1186/s40663-018-0136-0</w:t>
      </w:r>
    </w:p>
    <w:p w14:paraId="61444386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Cooper, H. F., Grady, K. C., Cowan, J. A., Best, R. J., Allan, G. J., &amp; Whitham, T. G. (2019). Genotypic variation in phenological plasticity: Reciprocal common gardens reveal adaptive responses to warmer springs but not to fall frost.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187–200. https://doi.org/10.1111/gcb.14494</w:t>
      </w:r>
    </w:p>
    <w:p w14:paraId="12DF59E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s-E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Costa e Silva, J., &amp; Graudal, L. (2008). Evaluation of an international series of Pinus kesiya provenance trials for growth and wood quality traits.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s-E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s-E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s-ES"/>
        </w:rPr>
        <w:t>255</w:t>
      </w:r>
      <w:r w:rsidRPr="00052A57">
        <w:rPr>
          <w:rFonts w:ascii="Times New Roman" w:hAnsi="Times New Roman" w:cs="Times New Roman"/>
          <w:sz w:val="16"/>
          <w:szCs w:val="16"/>
          <w:lang w:val="es-ES"/>
        </w:rPr>
        <w:t>(8), 3477–3488. https://doi.org/10.1016/j.foreco.2008.02.027</w:t>
      </w:r>
    </w:p>
    <w:p w14:paraId="1D88ADD0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s-ES"/>
        </w:rPr>
        <w:lastRenderedPageBreak/>
        <w:t xml:space="preserve">Cruzado-Vargas, A. L., Blanco-García, A., Lindig-Cisneros, R., Gómez-Romero, M., Lopez-Toledo, L., de la Barrera, E., &amp; Sáenz-Romero, C. (2021).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Reciprocal Common Garden Altitudinal Transplants Reveal Potential Negative Impacts of Climate Change on Abies religiosa Populations in the Monarch Butterfly Biosphere Reserve Overwintering Sites.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69. https://doi.org/10.3390/f12010069</w:t>
      </w:r>
    </w:p>
    <w:p w14:paraId="1F80D590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Cundall, E. P., Cahalan, C. M., &amp; Plowman, M. R. (1998). Early results of sycamore ( Acer pseudoplatanus ) provenance trials at farm-forestry sites in England and Wales.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Forestry: An International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237–245. https://doi.org/10.1093/forestry/71.3.237</w:t>
      </w:r>
    </w:p>
    <w:p w14:paraId="2C8DB65A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s-ES"/>
        </w:rPr>
        <w:t xml:space="preserve">de la Mata, R., &amp; Zas, R. (2010).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Transferring Atlantic maritime pine improved material to a region with marked Mediterranean influence in inland NW Spain: A likelihood-based approach on spatially adjusted field data.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European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645–658. https://doi.org/10.1007/s10342-010-0365-4</w:t>
      </w:r>
    </w:p>
    <w:p w14:paraId="539967A5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Evans, M. E. K., Merow, C., Record, S., McMahon, S. M., &amp; Enquist, B. J. (2016). Towards Process-based Range Modeling of Many Species.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Trends in Ecology &amp; Evolution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(11), 860–871. https://doi.org/10.1016/j.tree.2016.08.005</w:t>
      </w:r>
    </w:p>
    <w:p w14:paraId="3F2A13B0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Foff, V., Weiser, F., Foffová, E., &amp; Gömöry, D. (2014). Growth response of European larch (Larix decidua Mill.) populations to climatic transfer A Novel Approach for Controlled Pollination in Casuarina equisetifolia.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Silvae Genetica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(1–6), 67–75. https://doi.org/10.1515/sg-2014-0010</w:t>
      </w:r>
    </w:p>
    <w:p w14:paraId="4C420C3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Fréjaville, T., Fady, B., Kremer, A., Ducousso, A., &amp; Benito Garzón, M. (2019). Inferring phenotypic plasticity and population responses to climate across tree species ranges using forest inventory data.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Ecology and Biogeography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1259–1271. https://doi.org/10.1111/geb.12930</w:t>
      </w:r>
    </w:p>
    <w:p w14:paraId="1CDCA76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Fréjaville, T., Vizcaíno-Palomar, N., Fady, B., Kremer, A., &amp; Benito Garzón, M. (2020). Range margin populations show high climate adaptation lags in European trees.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26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484–495. https://doi.org/10.1111/gcb.14881</w:t>
      </w:r>
    </w:p>
    <w:p w14:paraId="580EDE1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Gárate-Escamilla, H., Hampe, A., Vizcaíno-Palomar, N., Robson, T. M., &amp; Benito Garzón, M. (2019). Range-wide variation in local adaptation and phenotypic plasticity of fitness-related traits in Fagus sylvatica and their implications under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Ecology and Biogeography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(9), 1336–1350. https://doi.org/10.1111/geb.12936</w:t>
      </w:r>
    </w:p>
    <w:p w14:paraId="4D6A7FEE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Gömöry, D., Longauer, R., Hlásny, T., Pacalaj, M., Strmeň, S., &amp; Krajmerová, D. (2012). Adaptation to common optimum in different populations of Norway spruce (Picea abies Karst.).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European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131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401–411. https://doi.org/10.1007/s10342-011-0512-6</w:t>
      </w:r>
    </w:p>
    <w:p w14:paraId="09BA9F10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Gray, L. K., Gylander, T., Mbogga, M. S., Chen, P., &amp; Hamann, A. (2011). Assisted migration to address climate change: Recommendations for aspen reforestation in western Canada.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Ecological Applications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(5), 1591–1603. https://doi.org/10.1890/10-1054.1</w:t>
      </w:r>
    </w:p>
    <w:p w14:paraId="5774D4D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Gray, L. K., Rweyongeza, D., Hamann, A., John, S., &amp; Thomas, B. R. (2016). Developing management strategies for tree improvement programs under climate change: Insights gained from long-term field trials with lodgepole pine.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377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128–138. https://doi.org/10.1016/j.foreco.2016.06.041</w:t>
      </w:r>
    </w:p>
    <w:p w14:paraId="3817415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Hallingbäck, H. R., Burton, V., Vizcaíno-Palomar, N., Trotter, F., Liziniewicz, M., Marchi, M., Berlin, M., Ray, D., &amp; Benito Garzón, M. (2021). Managing Uncertainty in Scots Pine Range-Wide Adaptation Under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Frontiers in Ecology and Evolution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. https://www.frontiersin.org/article/10.3389/fevo.2021.724051</w:t>
      </w:r>
    </w:p>
    <w:p w14:paraId="6F3331C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</w:rPr>
        <w:t xml:space="preserve">Hawkins, C. D. B., &amp; Dhar, A. (2012).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Spring bud phenology of 18 Betula papyrifera populations in British Columbia.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Scandinavian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507–519. https://doi.org/10.1080/02827581.2012.671356</w:t>
      </w:r>
    </w:p>
    <w:p w14:paraId="1A0A54F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Hayatgheibi, H., Haapanen, M., Lundströmer, J., Berlin, M., Kärkkäinen, K., &amp; Helmersson, A. (2021). The Impact of Drought Stress on the Height Growth of Young Norway Spruce Full-Sib and Half-Sib Clonal Trials in Sweden and Finland.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498. https://doi.org/10.3390/f12040498</w:t>
      </w:r>
    </w:p>
    <w:p w14:paraId="196AA3A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Hu, X.-G., Mao, J.-F., El-Kassaby, Y. A., Jia, K.-H., Jiao, S.-Q., Zhou, S.-S., Li, Y., Coops, N. C., &amp; Wang, T. (2019). Local Adaptation and Response of Platycladus orientalis (L.) Franco Populations to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(8), 622. https://doi.org/10.3390/f10080622</w:t>
      </w:r>
    </w:p>
    <w:p w14:paraId="2B153DA6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Huang, W., Fonti, P., Larsen, J. B., Ræbild, A., Callesen, I., Pedersen, N. B., &amp; Hansen, J. K. (2017). Projecting tree-growth responses into future climate: A study case from a Danish-wide common garden.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Agricultural and Forest Meteorology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247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240–251. https://doi.org/10.1016/j.agrformet.2017.07.016</w:t>
      </w:r>
    </w:p>
    <w:p w14:paraId="68EAC612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Hultine, K. R., Allan, G. J., Blasini, D., Bothwell, H. M., Cadmus, A., Cooper, H. F., Doughty, C. E., Gehring, C. A., Gitlin, A. R., Grady, K. C., Hull, J. B., Keith, A. R., Koepke, D. F., Markovchick, L., Corbin Parker, J. M., Sankey, T. T., &amp; Whitham, T. G. (2020). Adaptive capacity in the foundation tree species Populus fremontii: Implications for resilience to climate change and non-native species invasion in the American Southwest.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Conservation Physiology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coaa061. https://doi.org/10.1093/conphys/coaa061</w:t>
      </w:r>
    </w:p>
    <w:p w14:paraId="11BD864B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Isaac-Renton, M., Montwé, D., Hamann, A., Spiecker, H., Cherubini, P., &amp; Treydte, K. (2018). Northern forest tree populations are physiologically maladapted to drought.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Nature Communications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5254. https://doi.org/10.1038/s41467-018-07701-0</w:t>
      </w:r>
    </w:p>
    <w:p w14:paraId="2ED5B85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Ishizuka, W., &amp; Goto, S. (2012). Modeling intraspecific adaptation of Abies sachalinensis to local altitude and responses to global warming, based on a 36-year reciprocal transplant experiment.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Evolutionary Applications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229–244. https://doi.org/10.1111/j.1752-4571.2011.00216.x</w:t>
      </w:r>
    </w:p>
    <w:p w14:paraId="580E04A6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Joyce, D. G., &amp; Rehfeldt, G. E. (2013). Climatic niche, ecological genetics, and impact of climate change on eastern white pine (Pinus strobus L.): Guidelines for land managers.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295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173–192. https://doi.org/10.1016/j.foreco.2012.12.024</w:t>
      </w:r>
    </w:p>
    <w:p w14:paraId="2CD537B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Joyce, D. G., &amp; Rehfeldt, G. E. (2017). Management strategies for black spruce (Picea mariana (Mill.) B.S.P.) in the face of climate change: Climatic niche, clines, climatypes, and seed transfer.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Forestry: An International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90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594–610. https://doi.org/10.1093/forestry/cpx018</w:t>
      </w:r>
    </w:p>
    <w:p w14:paraId="0AC80290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lastRenderedPageBreak/>
        <w:t xml:space="preserve">Kamakura, R. P., DeWald, L. E., Sniezko, R. A., Elliott, M., &amp; Chastagner, G. A. (2021). Using differences in abiotic factors between seed origin and common garden sites to predict performance of Pacific madrone (Arbutus menziesii Pursh).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497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119487. https://doi.org/10.1016/j.foreco.2021.119487</w:t>
      </w:r>
    </w:p>
    <w:p w14:paraId="36170AEE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Kapeller, S., Lexer, M. J., Geburek, T., Hiebl, J., &amp; Schueler, S. (2012). Intraspecific variation in climate response of Norway spruce in the eastern Alpine range: Selecting appropriate provenances for future climate.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271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46–57. https://doi.org/10.1016/j.foreco.2012.01.039</w:t>
      </w:r>
    </w:p>
    <w:p w14:paraId="2D0B244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Kim, I. S., Han, S. U., Lee, W. Y., &amp; Na, S. J. (2013). Geographical Variation in Bud-burst Timing of Zelkova serrata Provenances.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Korean Journal of Agricultural and Forest Meteorology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191–200. https://doi.org/10.5532/KJAFM.2013.15.3.191</w:t>
      </w:r>
    </w:p>
    <w:p w14:paraId="1F7B8D2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Klápště, J., Meason, D., Dungey, H. S., Telfer, E. J., Silcock, P., &amp; Rapley, S. (2020). Genotype-by-environment interaction in coast redwood outside natural distribution—Search for environmental cues.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BMC Genetics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15. https://doi.org/10.1186/s12863-020-0821-1</w:t>
      </w:r>
    </w:p>
    <w:p w14:paraId="61E24D4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Klein, T., Cohen, S., &amp; Yakir, D. (2011). Hydraulic adjustments underlying drought resistance of Pinus halepensis.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Tree Physiology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637–648. https://doi.org/10.1093/treephys/tpr047</w:t>
      </w:r>
    </w:p>
    <w:p w14:paraId="41BBADA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Klisz, M., Jastrzębowski, S., Ukalski, K., Ukalska, J., &amp; Przybylski, P. (2017). Adaptation of Norway spruce populations in Europe: A case study from northern Poland§.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New Zealand Journal of Forestry Science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8. https://doi.org/10.1186/s40490-017-0090-6</w:t>
      </w:r>
    </w:p>
    <w:p w14:paraId="5800D79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Leites, L. P., Rehfeldt, G. E., Robinson, A. P., Crookston, N. L., &amp; Jaquish, B. (2012). Possibilities and Limitations of Using Historic Provenance Tests to Infer Forest Species Growth Responses to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Natural Resource Modeling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409–433. https://doi.org/10.1111/j.1939-7445.2012.00129.x</w:t>
      </w:r>
    </w:p>
    <w:p w14:paraId="335BE7D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Leites, L. P., Rehfeldt, G. E., &amp; Steiner, K. C. (2019). Adaptation to climate in five eastern North America broadleaf deciduous species: Growth clines and evidence of the growth-cold tolerance trade-off.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Perspectives in Plant Ecology, Evolution and Systematics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64–72. https://doi.org/10.1016/j.ppees.2019.02.002</w:t>
      </w:r>
    </w:p>
    <w:p w14:paraId="67D9119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Leites, L. P., Robinson, A. P., Rehfeldt, G. E., Marshall, J. D., &amp; Crookston, N. L. (2012). Height-growth response to climatic changes differs among populations of Douglas-fir: A novel analysis of historic data.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Ecological Applications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154–165. https://doi.org/10.1890/11-0150.1</w:t>
      </w:r>
    </w:p>
    <w:p w14:paraId="0D84D7CD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Lesser, M. R., &amp; Parker, W. H. (2004). Genetic variation in Picea glauca for growth and phenological traits from provenance tests in Ontario.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Silvae Genetica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140–148.</w:t>
      </w:r>
    </w:p>
    <w:p w14:paraId="3C57964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Li, W., Kershaw, J. A., Costanza, K. K. L., &amp; Taylor, A. R. (2020). Evaluating the potential of red spruce (Picea rubens Sarg.) to persist under climate change using historic provenance trials in eastern Canada.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466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118139. https://doi.org/10.1016/j.foreco.2020.118139</w:t>
      </w:r>
    </w:p>
    <w:p w14:paraId="072E2F7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López, R., Zehavi, A., Climent, J., Gil, L., López, R., Zehavi, A., Climent, J., &amp; Gil, L. (2007). Contrasting ecotypic differentiation for growth and survival in Pinus canariensis.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Australian Journal of Botany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(7), 759–769. https://doi.org/10.1071/BT07016</w:t>
      </w:r>
    </w:p>
    <w:p w14:paraId="11DEB442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Lu, P., Parker, W. C., Colombo, S. J., &amp; Man, R. (2016). Restructuring tree provenance test data to conform to reciprocal transplant experiments for detecting local adaptation.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Journal of Applied Ecology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1088–1097. https://doi.org/10.1111/1365-2664.12647</w:t>
      </w:r>
    </w:p>
    <w:p w14:paraId="27B5EFEA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Lu, P., Parker, W. H., Cherry, M., Colombo, S., Parker, W. C., Man, R., &amp; Roubal, N. (2014). Survival and growth patterns of white spruce (Picea glauca [Moench] Voss) rangewide provenances and their implications for climate change adaptation.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Ecology and Evolution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(12), 2360–2374. https://doi.org/10.1002/ece3.1100</w:t>
      </w:r>
    </w:p>
    <w:p w14:paraId="09C1B6BB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Martínez-Berdeja, A., Hamilton, J. A., Bontemps, A., Schmitt, J., &amp; Wright, J. W. (2019). Evidence for population differentiation among Jeffrey and Ponderosa pines in survival, growth and phenology.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434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40–48. https://doi.org/10.1016/j.foreco.2018.12.009</w:t>
      </w:r>
    </w:p>
    <w:p w14:paraId="678BEBCA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Mátyás, C. (2021). Adaptive pattern of phenotypic plasticity and inherent growth reveal the potential for assisted transfer in sessile oak (Quercus petraea L.).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482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118832. https://doi.org/10.1016/j.foreco.2020.118832</w:t>
      </w:r>
    </w:p>
    <w:p w14:paraId="7DE185A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Mátyás, C., Beran, F., Dostál, J., Čáp, J., Fulín, M., Vejpustková, M., Božič, G., Balázs, P., &amp; Frýdl, J. (2021). Surprising Drought Tolerance of Fir (Abies) Species between Past Climatic Adaptation and Future Projections Reveals New Chances for Adaptive Forest Management.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(7), 821. https://doi.org/10.3390/f12070821</w:t>
      </w:r>
    </w:p>
    <w:p w14:paraId="4FD0B59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Mátyás, C., Bozic, G., Gömöry, D., Ivankovic, M., &amp; Rasztovits, E. (2009). Juvenile growth response of European beech (Fagus sylvatica L.) to sudden change of climatic environment in SE European trials.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IForest - Biogeosciences and Forestry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213. https://doi.org/10.3832/ifor0519-002</w:t>
      </w:r>
    </w:p>
    <w:p w14:paraId="14D2AFE2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McLane, S., &amp; Aitken, S. (2012). Whitebark pine (Pinus albicaulis) assisted migration potential: Testing establishment north of the species range.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Ecological Applications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142–153.</w:t>
      </w:r>
    </w:p>
    <w:p w14:paraId="71B21EA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McLane, S. C., Daniels, L. D., &amp; Aitken, S. N. (2011). Climate impacts on lodgepole pine (Pinus contorta) radial growth in a provenance experiment.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262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115–123. https://doi.org/10.1016/j.foreco.2011.03.007</w:t>
      </w:r>
    </w:p>
    <w:p w14:paraId="594EFDA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McLane, S. C., LeMay, V. M., &amp; Aitken, S. N. (2011). Modeling lodgepole pine radial growth relative to climate and genetics using universal growth-trend response functions.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Ecological Applications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776–788. https://doi.org/10.1890/10-0131.1</w:t>
      </w:r>
    </w:p>
    <w:p w14:paraId="4665DBCA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s-E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Mihai, G., Alexandru, A. M., Stoica, E., &amp; Birsan, M. V. (2021). Intraspecific Growth Response to Drought of Abies alba in the Southeastern Carpathians.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s-E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s-E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s-E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s-ES"/>
        </w:rPr>
        <w:t>(4), 387. https://doi.org/10.3390/f12040387</w:t>
      </w:r>
    </w:p>
    <w:p w14:paraId="4CADB25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s-ES"/>
        </w:rPr>
        <w:t xml:space="preserve">Mihai, G., Bîrsan, M.-V., Dumitrescu, A., Alexandru, A., Mirancea, I., Ivanov, P., Stuparu, E., Teodosiu, M., &amp; Daia, M. (2018).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Adaptive genetic potential of European silver fir in Romania in the context of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Annals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95–108. https://doi.org/10.15287/afr.2018.1021</w:t>
      </w:r>
    </w:p>
    <w:p w14:paraId="3E9FAB4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Mimura, M., &amp; Aitken, S. N. (2010). Local adaptation at the range peripheries of Sitka spruce.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Journal of Evolutionary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249–258. https://doi.org/10.1111/j.1420-9101.2009.01910.x</w:t>
      </w:r>
    </w:p>
    <w:p w14:paraId="0E7A2C9E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lastRenderedPageBreak/>
        <w:t xml:space="preserve">Montwé, D., Isaac-Renton, M., Hamann, A., &amp; Spiecker, H. (2016). Drought tolerance and growth in populations of a wide-ranging tree species indicate climate change risks for the boreal north.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806–815. https://doi.org/10.1111/gcb.13123</w:t>
      </w:r>
    </w:p>
    <w:p w14:paraId="000E65D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Muffler, L., Schmeddes, J., Weigel, R., Barbeta, A., Beil, I., Bolte, A., Buhk, C., Holm, S., Klein, G., Klisz, M., Löf, M., Peñuelas, J., Schneider, L., Vitasse, Y., &amp; Kreyling, J. (2021). High plasticity in germination and establishment success in the dominant forest tree Fagus sylvatica across Europe.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Ecology and Biogeography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(8), 1583–1596. https://doi.org/10.1111/geb.13320</w:t>
      </w:r>
    </w:p>
    <w:p w14:paraId="4366BF8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Nakavasina, E. N., Demina, N. A., &amp; Prozherina, N. A. (2017). Evaluation of survival and growth of Picea abies (L.) H. Karst. And Picea obovata Ledb. Provenances in the north of Russia.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Journal of Forest Science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401–407.</w:t>
      </w:r>
    </w:p>
    <w:p w14:paraId="57CE7BA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Nigh, G. (2014). Mitigating the effects of climate change on lodgepole pine site height in British Columbia, Canada, with a transfer function.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Forestry: An International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87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377–387. https://doi.org/10.1093/forestry/cpu009</w:t>
      </w:r>
    </w:p>
    <w:p w14:paraId="2769B1F2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Oleksyn, J., Modrzýnski, J., Tjoelker, M. G., Z·ytkowiak, R., Reich, P. B., &amp; Karolewski, P. (1998). Growth and physiology of Picea abies populations from elevational transects: Common garden evidence for altitudinal ecotypes and cold adaptation.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Functional Ecology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573–590. https://doi.org/10.1046/j.1365-2435.1998.00236.x</w:t>
      </w:r>
    </w:p>
    <w:p w14:paraId="1CDC5E5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O’Neill, G. A., Hamann, A., &amp; Wang, T. (2008). Accounting for population variation improves estimates of the impact of climate change on species’ growth and distribution.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Journal of Applied Ecology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1040–1049. https://doi.org/10.1111/j.1365-2664.2008.01472.x</w:t>
      </w:r>
    </w:p>
    <w:p w14:paraId="4D1B154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O’Neill, G. A., &amp; Nigh, G. (2011). Linking population genetics and tree height growth models to predict impacts of climate change on forest production.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(10), 3208–3217. https://doi.org/10.1111/j.1365-2486.2011.02467.x</w:t>
      </w:r>
    </w:p>
    <w:p w14:paraId="230B3190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O’Neill, G. A., Nigh, G., Wang, T., &amp; Ott, P. K. (2007). Growth response functions improved by accounting for nonclimatic site effects.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Canadian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(12), 2724–2730.</w:t>
      </w:r>
    </w:p>
    <w:p w14:paraId="7F7917B5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O’Neill, G. A., Stoehr, M., &amp; Jaquish, B. (2014). Quantifying safe seed transfer distance and impacts of tree breeding on adaptation.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328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122–130. https://doi.org/10.1016/j.foreco.2014.05.039</w:t>
      </w:r>
    </w:p>
    <w:p w14:paraId="638F7602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Onofrio, L., Hawley, G., &amp; Leites, L. P. (2021). Ecological genetics of Juglans nigra: Differences in early growth patterns of natural populations.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Ecology and Evolution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(12), 7399–7410. https://doi.org/10.1002/ece3.7571</w:t>
      </w:r>
    </w:p>
    <w:p w14:paraId="11AF234A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Patsiou, T. S., Shestakova, T. A., Klein, T., di Matteo, G., Sbay, H., Chambel, M. R., Zas, R., &amp; Voltas, J. (2020). Intraspecific responses to climate reveal nonintuitive warming impacts on a widespread thermophilic conifer.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New Phytologist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228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525–540. https://doi.org/10.1111/nph.16656</w:t>
      </w:r>
    </w:p>
    <w:p w14:paraId="06E98B5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Pedlar, J. H., &amp; McKenney, D. W. (2017). Assessing the anticipated growth response of northern conifer populations to a warming climate.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Scientific Reports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43881. https://doi.org/10.1038/srep43881</w:t>
      </w:r>
    </w:p>
    <w:p w14:paraId="4892C6E5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Pedlar, J. H., McKenney, D. W., &amp; Lu, P. (2021). Critical seed transfer distances for selected tree species in eastern North America.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Journal of Ecology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109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2271–2283. https://doi.org/10.1111/1365-2745.13605</w:t>
      </w:r>
    </w:p>
    <w:p w14:paraId="41E50D91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Pedlar, J. H., McKenney, D. W., Lu, P., &amp; Thomson, A. (2021). Response of Northern Populations of Black Spruce and Jack Pine to Southward Seed Transfers: Implications for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Atmosphere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(10), 1363. https://doi.org/10.3390/atmos12101363</w:t>
      </w:r>
    </w:p>
    <w:p w14:paraId="0B464D5E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Persson, B., &amp; Beuker, E. (1997). Distinguishing between the effects of changes in temperature and light climate using provenance trials with Pinus sylvestris in Sweden.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Canadian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(4), 572–579. https://doi.org/10.1139/x96-222</w:t>
      </w:r>
    </w:p>
    <w:p w14:paraId="2312D2E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Prasad, A., &amp; Leites, L. (2022). Ecological analysis of intraspecific variability of eastern white pine (Pinus strobus) under climate change by combining provenance and demographic data.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Landscape Ecology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109–128. https://doi.org/10.1007/s10980-021-01333-4</w:t>
      </w:r>
    </w:p>
    <w:p w14:paraId="243109B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Rehfeldt, G. E., Leites, L. P., Clair, J. B. S., Jaquish, B. C., Saenz-Romero, C., Lopez-Upton, J., &amp; Joyce, D. G. (2014). Comparative genetic responses to climate in the varieties of Pinus ponderosa and Pseudotsuga menziesii: Clines in growth potential.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Management. 324: 138-146.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138–146. https://doi.org/10.1016/j.foreco.2014.02.041</w:t>
      </w:r>
    </w:p>
    <w:p w14:paraId="084F3EC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Rehfeldt, G. E., Leites, L. P., Joyce, D. G., &amp; Weiskittel, A. R. (2018). Role of population genetics in guiding ecological responses to climate.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24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858–868. https://doi.org/10.1111/gcb.13883</w:t>
      </w:r>
    </w:p>
    <w:p w14:paraId="632804B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Rehfeldt, G. E., Tchebakova, N. M., Milyutin, L. I., Parfenova, Y. I., Wykoff, W. R., &amp; Kouzmina, N. A. (2003). Assessing population responses to climate in Pinus sylvestris and Larix spp. Of Eurasia with climate-transfer models.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Eurasian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83–98.</w:t>
      </w:r>
    </w:p>
    <w:p w14:paraId="114A2266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Rehfeldt, G. E., Tchebakova, N. M., Parfenova, Y. I., Wykoff, W. R., Kuzmina, N. A., &amp; Milyutin, L. I. (2002). Intraspecific responses to climate in Pinus sylvestris.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(9), 912–929. https://doi.org/10.1046/j.1365-2486.2002.00516.x</w:t>
      </w:r>
    </w:p>
    <w:p w14:paraId="641659D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Rehfeldt, G. E., Wykoff, W. R., &amp; Ying, C. C. (2001). Physiologic Plasticity, Evolution, and Impacts of a Changing Climate on Pinus Contorta.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Climatic Change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50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355–376. https://doi.org/10.1023/A:1010614216256</w:t>
      </w:r>
    </w:p>
    <w:p w14:paraId="4880EB63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Rehfeldt, G. E., Ying, C. C., Spittlehouse, D. L., &amp; Hamilton Jr., D. A. (1999). Genetic Responses to Climate in Pinus Contorta: Niche Breadth, Climate Change, and Reforestation.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Ecological Monographs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69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(3), 375–407. https://doi.org/10.1890/0012-9615(1999)069[0375:GRTCIP]2.0.CO;2</w:t>
      </w:r>
    </w:p>
    <w:p w14:paraId="14D318D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Reich, P. B., &amp; Oleksyn, J. (2008). Climate warming will reduce growth and survival of Scots pine except in the far north.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Ecology Letters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11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588–597. https://doi.org/10.1111/j.1461-0248.2008.01172.x</w:t>
      </w:r>
    </w:p>
    <w:p w14:paraId="016CF52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Russell, J. H., Costa e Silva, J., &amp; Baltunis, B. S. (2015). Multisite genetic parameter estimates from a Callitropsis nootkatensis diallel study with clonally replicated progeny.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Canadian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45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689–697. https://doi.org/10.1139/cjfr-2014-0331</w:t>
      </w:r>
    </w:p>
    <w:p w14:paraId="4C06AFF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Rweyongeza, D. M. R. M., Dhir, N. K. D. K., Barnhardt, L. K. B. K., Hansen, C. H., &amp; Yang, R.-C. Y.-C. (2007). Population differentiation of the lodgepole pine (Pinus contorta) and jack pine (Pinus banksiana) complex in Alberta: Growth, survival, and responses to climate.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Botany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. https://doi.org/10.1139/B07-053</w:t>
      </w:r>
    </w:p>
    <w:p w14:paraId="379970CC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lastRenderedPageBreak/>
        <w:t xml:space="preserve">Sáenz-Romero, C., Kremer, A., Nagy, L., Újvári-Jármay, É., Ducousso, A., Kóczán-Horváth, A., Hansen, J. K., &amp; Mátyás, C. (2019). Common garden comparisons confirm inherited differences in sensitivity to climate change between forest tree species.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PeerJ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e6213. https://doi.org/10.7717/peerj.6213</w:t>
      </w:r>
    </w:p>
    <w:p w14:paraId="14890DCA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Sáenz-Romero, C., Lamy, J.-B., Ducousso, A., Musch, B., Ehrenmann, F., Delzon, S., Cavers, S., Chałupka, W., Dağdaş, S., Hansen, J. K., Lee, S. J., Liesebach, M., Rau, H.-M., Psomas, A., Schneck, V., Steiner, W., Zimmermann, N. E., &amp; Kremer, A. (2017). Adaptive and plastic responses of Quercus petraea populations to climate across Europe.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(7), 2831–2847. https://doi.org/10.1111/gcb.13576</w:t>
      </w:r>
    </w:p>
    <w:p w14:paraId="68E2C36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Savva, Y., Denneler, B., Koubaa, A., Tremblay, F., Bergeron, Y., &amp; Tjoelker, M. G. (2007). Seed transfer and climate change effects on radial growth of jack pine populations in a common garden in Petawawa, Ontario, Canada.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242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(2), 636–647. https://doi.org/10.1016/j.foreco.2007.01.073</w:t>
      </w:r>
    </w:p>
    <w:p w14:paraId="5E6EB85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Schmidtling, R. C. (1994). Use of provenance tests to predict response to climate change: Loblolly pine and Norway spruce.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Tree Physiology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14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(7-8–9), 805–817. https://doi.org/10.1093/treephys/14.7-8-9.805</w:t>
      </w:r>
    </w:p>
    <w:p w14:paraId="58A26906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Skulason, B., Hansen, O. K., &amp; Nielsen, U. B. (2018). Provenance Variation in Phenology and Frost Tolerance in Subalpine Fir (Abies lasiocarpa) Planted in Denmark and Iceland.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17. https://doi.org/10.3390/f9010017</w:t>
      </w:r>
    </w:p>
    <w:p w14:paraId="69A3E45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ST Clair, J. B., &amp; Howe, GlennT. (2007). Genetic maladaptation of coastal Douglas-fir seedlings to future climates.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13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(7), 1441–1454. https://doi.org/10.1111/j.1365-2486.2007.01385.x</w:t>
      </w:r>
    </w:p>
    <w:p w14:paraId="4F7BE3A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</w:rPr>
        <w:t xml:space="preserve">Steiner, K. C., Graboski, L. E., Berkebile, J. L., Fei, S., &amp; Leites, L. P. (2021).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Uncertainty in the modelled mortality of two tree species (Fraxinus) under novel climatic regimes.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Diversity and Distributions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(8), 1449–1461. https://doi.org/10.1111/ddi.13293</w:t>
      </w:r>
    </w:p>
    <w:p w14:paraId="5ED955C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Thomson, A. M., &amp; Parker, W. H. (2008). Boreal forest provenance tests used to predict optimal growth and response to climate change. 1. Jack pine.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Canadian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38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157–170. https://doi.org/10.1139/X07-122</w:t>
      </w:r>
    </w:p>
    <w:p w14:paraId="52BCCADF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Thomson, A. M., Riddell, C. L., &amp; Parker, W. H. (2009). Boreal forest provenance tests used to predict optimal growth and response to climate change: 2. Black spruce.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Canadian Journal of Forest Research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143–153. https://doi.org/10.1139/X08-167</w:t>
      </w:r>
    </w:p>
    <w:p w14:paraId="2FBFB876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s-ES"/>
        </w:rPr>
        <w:t xml:space="preserve">Valladares, F., Matesanz, S., Guilhaumon, F., Araújo, M. B., Balaguer, L., Benito-Garzón, M., Cornwell, W., Gianoli, E., van Kleunen, M., Naya, D. E., Nicotra, A. B., Poorter, H., &amp; Zavala, M. A. (2014).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The effects of phenotypic plasticity and local adaptation on forecasts of species range shifts under climate change.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Ecology Letters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17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(11), 1351–1364. https://doi.org/10.1111/ele.12348</w:t>
      </w:r>
    </w:p>
    <w:p w14:paraId="69144C79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Vitasse, Y., Bresson, C. C., Kremer, A., Michalet, R., &amp; Delzon, S. (2010). Quantifying phenological plasticity to temperature in two temperate tree species.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Functional Ecology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24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(6), 1211–1218. https://doi.org/10.1111/j.1365-2435.2010.01748.x</w:t>
      </w:r>
    </w:p>
    <w:p w14:paraId="4AC6B45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Vizcaíno-Palomar, N., Fady, B., Alía, R., Raffin, A., Mutke, S., &amp; Benito Garzón, M. (2020). The legacy of climate variability over the last century on populations’ phenotypic variation in tree height.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Science of The Total Environment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749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141454. https://doi.org/10.1016/j.scitotenv.2020.141454</w:t>
      </w:r>
    </w:p>
    <w:p w14:paraId="44016D82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s-ES"/>
        </w:rPr>
        <w:t xml:space="preserve">Vizcaíno-Palomar, N., González-Muñoz, N., González-Martínez, S. C., Alía, R., &amp; Benito Garzón, M. (2019). 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Most Southern Scots Pine Populations Are Locally Adapted to Drought for Tree Height Growth.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(7), 555. https://doi.org/10.3390/f10070555</w:t>
      </w:r>
    </w:p>
    <w:p w14:paraId="05D2F06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Wang, T., Hamann, A., Yanchuk, A., O’neill, G. A., &amp; Aitken, S. N. (2006). Use of response functions in selecting lodgepole pine populations for future climates.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Global Change Biology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12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(12), 2404–2416. https://doi.org/10.1111/j.1365-2486.2006.01271.x</w:t>
      </w:r>
    </w:p>
    <w:p w14:paraId="085CEFD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Wang, T., O’Neill, G. A., &amp; Aitken, S. N. (2010). Integrating environmental and genetic effects to predict responses of tree populations to climate.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Ecological Applications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20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153–163. https://doi.org/10.1890/08-2257.1</w:t>
      </w:r>
    </w:p>
    <w:p w14:paraId="7069D7D4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Xu, J., Hansen, O. K., Thomsen, I. M., &amp; Nielsen, U. B. (2018). Genetic variation and genotype by environment interaction in the susceptibility of Abies nordmanniana (Steven) Spach to the fungus Neonectria neomacrospora (Booth &amp; Samuels) Mantiri &amp; Samuels.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Annals of Forest Science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75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(1), 17. https://doi.org/10.1007/s13595-018-0689-7</w:t>
      </w:r>
    </w:p>
    <w:p w14:paraId="2789E038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Yang, J., Pedlar, J. H., McKenney, D. W., &amp; Weersink, A. (2015). The development of universal response functions to facilitate climate-smart regeneration of black spruce and white pine in Ontario, Canada.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  <w:lang w:val="en-US"/>
        </w:rPr>
        <w:t>339</w:t>
      </w:r>
      <w:r w:rsidRPr="00052A57">
        <w:rPr>
          <w:rFonts w:ascii="Times New Roman" w:hAnsi="Times New Roman" w:cs="Times New Roman"/>
          <w:sz w:val="16"/>
          <w:szCs w:val="16"/>
          <w:lang w:val="en-US"/>
        </w:rPr>
        <w:t>, 34–43. https://doi.org/10.1016/j.foreco.2014.12.001</w:t>
      </w:r>
    </w:p>
    <w:p w14:paraId="6F6B9617" w14:textId="77777777" w:rsidR="00E32838" w:rsidRPr="00052A57" w:rsidRDefault="00E32838" w:rsidP="00E32838">
      <w:pPr>
        <w:pStyle w:val="Bibliography"/>
        <w:spacing w:before="120" w:line="240" w:lineRule="auto"/>
        <w:rPr>
          <w:rFonts w:ascii="Times New Roman" w:hAnsi="Times New Roman" w:cs="Times New Roman"/>
          <w:sz w:val="16"/>
          <w:szCs w:val="16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t xml:space="preserve">Zhang, H., Zhou, X., Gu, W., Wang, L., Li, W., Gao, Y., Wu, L., Guo, X., Tigabu, M., Xia, D., Chiang, V. L., Yang, C., &amp; Zhao, X. (2021). Genetic stability of Larix olgensis provenances planted in different sites in northeast China. </w:t>
      </w:r>
      <w:r w:rsidRPr="00052A57">
        <w:rPr>
          <w:rFonts w:ascii="Times New Roman" w:hAnsi="Times New Roman" w:cs="Times New Roman"/>
          <w:i/>
          <w:iCs/>
          <w:sz w:val="16"/>
          <w:szCs w:val="16"/>
        </w:rPr>
        <w:t>Forest Ecology and Management</w:t>
      </w:r>
      <w:r w:rsidRPr="00052A57">
        <w:rPr>
          <w:rFonts w:ascii="Times New Roman" w:hAnsi="Times New Roman" w:cs="Times New Roman"/>
          <w:sz w:val="16"/>
          <w:szCs w:val="16"/>
        </w:rPr>
        <w:t xml:space="preserve">, </w:t>
      </w:r>
      <w:r w:rsidRPr="00052A57">
        <w:rPr>
          <w:rFonts w:ascii="Times New Roman" w:hAnsi="Times New Roman" w:cs="Times New Roman"/>
          <w:i/>
          <w:iCs/>
          <w:sz w:val="16"/>
          <w:szCs w:val="16"/>
        </w:rPr>
        <w:t>485</w:t>
      </w:r>
      <w:r w:rsidRPr="00052A57">
        <w:rPr>
          <w:rFonts w:ascii="Times New Roman" w:hAnsi="Times New Roman" w:cs="Times New Roman"/>
          <w:sz w:val="16"/>
          <w:szCs w:val="16"/>
        </w:rPr>
        <w:t>, 118988. https://doi.org/10.1016/j.foreco.2021.118988</w:t>
      </w:r>
    </w:p>
    <w:p w14:paraId="66FEE913" w14:textId="0D69D0B7" w:rsidR="0025099C" w:rsidRDefault="00E32838" w:rsidP="00E32838">
      <w:pPr>
        <w:spacing w:before="120" w:after="0" w:line="240" w:lineRule="auto"/>
        <w:rPr>
          <w:rFonts w:asciiTheme="majorHAnsi" w:hAnsiTheme="majorHAnsi" w:cstheme="majorHAnsi"/>
          <w:noProof/>
          <w:sz w:val="24"/>
          <w:szCs w:val="24"/>
          <w:lang w:val="en-US"/>
        </w:rPr>
      </w:pPr>
      <w:r w:rsidRPr="00052A57">
        <w:rPr>
          <w:rFonts w:ascii="Times New Roman" w:hAnsi="Times New Roman" w:cs="Times New Roman"/>
          <w:sz w:val="16"/>
          <w:szCs w:val="16"/>
          <w:lang w:val="en-US"/>
        </w:rPr>
        <w:fldChar w:fldCharType="end"/>
      </w:r>
    </w:p>
    <w:p w14:paraId="03D03D25" w14:textId="70F9066D" w:rsidR="003B095A" w:rsidRPr="008D24AE" w:rsidRDefault="003B095A">
      <w:pPr>
        <w:rPr>
          <w:rFonts w:asciiTheme="majorHAnsi" w:hAnsiTheme="majorHAnsi" w:cstheme="majorHAnsi"/>
          <w:noProof/>
          <w:sz w:val="24"/>
          <w:szCs w:val="24"/>
          <w:lang w:val="en-US"/>
        </w:rPr>
      </w:pPr>
    </w:p>
    <w:sectPr w:rsidR="003B095A" w:rsidRPr="008D2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55F9C"/>
    <w:multiLevelType w:val="hybridMultilevel"/>
    <w:tmpl w:val="35D4744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D07D9"/>
    <w:multiLevelType w:val="hybridMultilevel"/>
    <w:tmpl w:val="15BC56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049B7"/>
    <w:multiLevelType w:val="hybridMultilevel"/>
    <w:tmpl w:val="FDE4C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011930">
    <w:abstractNumId w:val="2"/>
  </w:num>
  <w:num w:numId="2" w16cid:durableId="1034232839">
    <w:abstractNumId w:val="0"/>
  </w:num>
  <w:num w:numId="3" w16cid:durableId="1328824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73F"/>
    <w:rsid w:val="000440E9"/>
    <w:rsid w:val="00045810"/>
    <w:rsid w:val="00052A57"/>
    <w:rsid w:val="00077890"/>
    <w:rsid w:val="00085F62"/>
    <w:rsid w:val="000A4BE2"/>
    <w:rsid w:val="000B028A"/>
    <w:rsid w:val="000B09B3"/>
    <w:rsid w:val="000C3E09"/>
    <w:rsid w:val="000C5104"/>
    <w:rsid w:val="000D4252"/>
    <w:rsid w:val="000E62AC"/>
    <w:rsid w:val="00112479"/>
    <w:rsid w:val="00141D08"/>
    <w:rsid w:val="001459B2"/>
    <w:rsid w:val="00164DA7"/>
    <w:rsid w:val="00186275"/>
    <w:rsid w:val="001E40A4"/>
    <w:rsid w:val="00241025"/>
    <w:rsid w:val="0025099C"/>
    <w:rsid w:val="002830A9"/>
    <w:rsid w:val="002A745E"/>
    <w:rsid w:val="002C5FCC"/>
    <w:rsid w:val="002C7711"/>
    <w:rsid w:val="002E5194"/>
    <w:rsid w:val="0031099D"/>
    <w:rsid w:val="00352B1E"/>
    <w:rsid w:val="00365450"/>
    <w:rsid w:val="0036586D"/>
    <w:rsid w:val="00393133"/>
    <w:rsid w:val="003A3DCF"/>
    <w:rsid w:val="003B095A"/>
    <w:rsid w:val="003E0F6B"/>
    <w:rsid w:val="003E7244"/>
    <w:rsid w:val="003F156D"/>
    <w:rsid w:val="003F2242"/>
    <w:rsid w:val="003F7BE8"/>
    <w:rsid w:val="0043303D"/>
    <w:rsid w:val="0043440F"/>
    <w:rsid w:val="00435863"/>
    <w:rsid w:val="00493DEB"/>
    <w:rsid w:val="00497E52"/>
    <w:rsid w:val="00514E82"/>
    <w:rsid w:val="00515920"/>
    <w:rsid w:val="00520ED5"/>
    <w:rsid w:val="00553CD5"/>
    <w:rsid w:val="00570AC9"/>
    <w:rsid w:val="00573B51"/>
    <w:rsid w:val="00573F98"/>
    <w:rsid w:val="00585CC9"/>
    <w:rsid w:val="0059291A"/>
    <w:rsid w:val="005A5953"/>
    <w:rsid w:val="005D241C"/>
    <w:rsid w:val="005E59A2"/>
    <w:rsid w:val="005E705E"/>
    <w:rsid w:val="005F4479"/>
    <w:rsid w:val="006011FE"/>
    <w:rsid w:val="00627AD6"/>
    <w:rsid w:val="00630F84"/>
    <w:rsid w:val="0064473F"/>
    <w:rsid w:val="00663E80"/>
    <w:rsid w:val="006A7A00"/>
    <w:rsid w:val="006B2A9F"/>
    <w:rsid w:val="006C673E"/>
    <w:rsid w:val="006E0606"/>
    <w:rsid w:val="006F5E00"/>
    <w:rsid w:val="0075176A"/>
    <w:rsid w:val="00774F1E"/>
    <w:rsid w:val="0079464A"/>
    <w:rsid w:val="00795DB7"/>
    <w:rsid w:val="007D528F"/>
    <w:rsid w:val="008201E9"/>
    <w:rsid w:val="00821114"/>
    <w:rsid w:val="008234CB"/>
    <w:rsid w:val="0082388B"/>
    <w:rsid w:val="00840884"/>
    <w:rsid w:val="00887908"/>
    <w:rsid w:val="008936DD"/>
    <w:rsid w:val="0089387E"/>
    <w:rsid w:val="008A31B3"/>
    <w:rsid w:val="008C1A37"/>
    <w:rsid w:val="008D24AE"/>
    <w:rsid w:val="008E23E1"/>
    <w:rsid w:val="00913601"/>
    <w:rsid w:val="00922400"/>
    <w:rsid w:val="00935FDC"/>
    <w:rsid w:val="0093783A"/>
    <w:rsid w:val="00991C49"/>
    <w:rsid w:val="009B1271"/>
    <w:rsid w:val="009F34C8"/>
    <w:rsid w:val="009F4240"/>
    <w:rsid w:val="00A16BDE"/>
    <w:rsid w:val="00A2339D"/>
    <w:rsid w:val="00A32F6A"/>
    <w:rsid w:val="00A36E3E"/>
    <w:rsid w:val="00A700EC"/>
    <w:rsid w:val="00AC322A"/>
    <w:rsid w:val="00AE52DA"/>
    <w:rsid w:val="00B16806"/>
    <w:rsid w:val="00B3280E"/>
    <w:rsid w:val="00B52082"/>
    <w:rsid w:val="00B54F38"/>
    <w:rsid w:val="00B87BA5"/>
    <w:rsid w:val="00BC0F82"/>
    <w:rsid w:val="00BC3A4C"/>
    <w:rsid w:val="00BC60E4"/>
    <w:rsid w:val="00BD3DB4"/>
    <w:rsid w:val="00BF6902"/>
    <w:rsid w:val="00C00C19"/>
    <w:rsid w:val="00C44114"/>
    <w:rsid w:val="00C573AE"/>
    <w:rsid w:val="00C7410F"/>
    <w:rsid w:val="00C87B05"/>
    <w:rsid w:val="00CC68DE"/>
    <w:rsid w:val="00CF2368"/>
    <w:rsid w:val="00D12838"/>
    <w:rsid w:val="00D37091"/>
    <w:rsid w:val="00D52595"/>
    <w:rsid w:val="00D67D54"/>
    <w:rsid w:val="00D73519"/>
    <w:rsid w:val="00D9231A"/>
    <w:rsid w:val="00D9486E"/>
    <w:rsid w:val="00DC3F3C"/>
    <w:rsid w:val="00DD0ED0"/>
    <w:rsid w:val="00DD735A"/>
    <w:rsid w:val="00DE34DE"/>
    <w:rsid w:val="00DF5504"/>
    <w:rsid w:val="00DF5802"/>
    <w:rsid w:val="00DF6334"/>
    <w:rsid w:val="00DF6686"/>
    <w:rsid w:val="00E117E6"/>
    <w:rsid w:val="00E24E75"/>
    <w:rsid w:val="00E27601"/>
    <w:rsid w:val="00E3167C"/>
    <w:rsid w:val="00E32838"/>
    <w:rsid w:val="00E46EF3"/>
    <w:rsid w:val="00E652CC"/>
    <w:rsid w:val="00E75878"/>
    <w:rsid w:val="00E8633C"/>
    <w:rsid w:val="00E977F8"/>
    <w:rsid w:val="00EA0FF4"/>
    <w:rsid w:val="00ED7523"/>
    <w:rsid w:val="00EE7960"/>
    <w:rsid w:val="00EE7C15"/>
    <w:rsid w:val="00EF4206"/>
    <w:rsid w:val="00EF57D4"/>
    <w:rsid w:val="00F12935"/>
    <w:rsid w:val="00F148D3"/>
    <w:rsid w:val="00F270B5"/>
    <w:rsid w:val="00F34578"/>
    <w:rsid w:val="00F4517A"/>
    <w:rsid w:val="00F50A58"/>
    <w:rsid w:val="00F50C51"/>
    <w:rsid w:val="00FE1A29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82B92"/>
  <w15:chartTrackingRefBased/>
  <w15:docId w15:val="{2FD32CF0-5F8D-4234-A7FD-F47DAF5C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D08"/>
  </w:style>
  <w:style w:type="paragraph" w:styleId="Heading1">
    <w:name w:val="heading 1"/>
    <w:basedOn w:val="Normal"/>
    <w:next w:val="Normal"/>
    <w:link w:val="Heading1Char"/>
    <w:uiPriority w:val="9"/>
    <w:qFormat/>
    <w:rsid w:val="00141D08"/>
    <w:pPr>
      <w:keepNext/>
      <w:keepLines/>
      <w:pBdr>
        <w:bottom w:val="single" w:sz="4" w:space="1" w:color="3494BA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76E8B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1D0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76E8B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1D0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41D0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D0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D0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D0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D0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D0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D08"/>
    <w:rPr>
      <w:rFonts w:asciiTheme="majorHAnsi" w:eastAsiaTheme="majorEastAsia" w:hAnsiTheme="majorHAnsi" w:cstheme="majorBidi"/>
      <w:color w:val="276E8B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141D08"/>
    <w:rPr>
      <w:rFonts w:asciiTheme="majorHAnsi" w:eastAsiaTheme="majorEastAsia" w:hAnsiTheme="majorHAnsi" w:cstheme="majorBidi"/>
      <w:color w:val="276E8B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41D0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41D0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D0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D0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D0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D0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D0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1D0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41D0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76E8B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141D08"/>
    <w:rPr>
      <w:rFonts w:asciiTheme="majorHAnsi" w:eastAsiaTheme="majorEastAsia" w:hAnsiTheme="majorHAnsi" w:cstheme="majorBidi"/>
      <w:color w:val="276E8B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D0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41D0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141D08"/>
    <w:rPr>
      <w:b/>
      <w:bCs/>
    </w:rPr>
  </w:style>
  <w:style w:type="character" w:styleId="Emphasis">
    <w:name w:val="Emphasis"/>
    <w:basedOn w:val="DefaultParagraphFont"/>
    <w:uiPriority w:val="20"/>
    <w:qFormat/>
    <w:rsid w:val="00141D08"/>
    <w:rPr>
      <w:i/>
      <w:iCs/>
    </w:rPr>
  </w:style>
  <w:style w:type="paragraph" w:styleId="NoSpacing">
    <w:name w:val="No Spacing"/>
    <w:uiPriority w:val="1"/>
    <w:qFormat/>
    <w:rsid w:val="00141D0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41D0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41D0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41D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D0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3494BA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D08"/>
    <w:rPr>
      <w:rFonts w:asciiTheme="majorHAnsi" w:eastAsiaTheme="majorEastAsia" w:hAnsiTheme="majorHAnsi" w:cstheme="majorBidi"/>
      <w:color w:val="3494BA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41D0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41D0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41D0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141D0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141D0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141D08"/>
    <w:pPr>
      <w:outlineLvl w:val="9"/>
    </w:pPr>
  </w:style>
  <w:style w:type="table" w:styleId="TableGrid">
    <w:name w:val="Table Grid"/>
    <w:basedOn w:val="TableNormal"/>
    <w:uiPriority w:val="39"/>
    <w:rsid w:val="00ED7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3B51"/>
    <w:rPr>
      <w:color w:val="6B9F25" w:themeColor="hyperlink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73B51"/>
    <w:pPr>
      <w:spacing w:after="0" w:line="480" w:lineRule="auto"/>
      <w:ind w:left="720" w:hanging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863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59B2"/>
    <w:rPr>
      <w:color w:val="9F6715" w:themeColor="followedHyperlink"/>
      <w:u w:val="single"/>
    </w:rPr>
  </w:style>
  <w:style w:type="paragraph" w:styleId="Revision">
    <w:name w:val="Revision"/>
    <w:hidden/>
    <w:uiPriority w:val="99"/>
    <w:semiHidden/>
    <w:rsid w:val="00514E8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A4B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B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B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B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B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leu vert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cf48d45-3ddb-4389-a9c1-c115526eb52e}" enabled="0" method="" siteId="{7cf48d45-3ddb-4389-a9c1-c115526eb52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4383</Words>
  <Characters>24987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MBG</dc:creator>
  <cp:keywords/>
  <dc:description/>
  <cp:lastModifiedBy>Leites, Laura P</cp:lastModifiedBy>
  <cp:revision>7</cp:revision>
  <dcterms:created xsi:type="dcterms:W3CDTF">2023-04-06T17:09:00Z</dcterms:created>
  <dcterms:modified xsi:type="dcterms:W3CDTF">2023-04-06T17:12:00Z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zotero-version="6.0.6"&gt;&lt;session id="exAhyr8N"/&gt;&lt;style id="http://www.zotero.org/styles/global-change-biology" hasBibliography="1" bibliographyStyleHasBeenSet="1"/&gt;&lt;prefs&gt;&lt;pref name="fieldType" value="Field"/&gt;&lt;/prefs&gt;&lt;/data&gt;</vt:lpwstr>
  </property>
</Properties>
</file>