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860" w:rsidRDefault="001F7860" w:rsidP="001F7860">
      <w:pPr>
        <w:rPr>
          <w:rFonts w:cs="Times New Roman (Body CS)"/>
          <w:szCs w:val="22"/>
        </w:rPr>
      </w:pPr>
      <w:r>
        <w:rPr>
          <w:rFonts w:cs="Times New Roman (Body CS)"/>
          <w:szCs w:val="22"/>
        </w:rPr>
        <w:t>Primary Contact:  David Stensrud</w:t>
      </w:r>
    </w:p>
    <w:p w:rsidR="001F7860" w:rsidRDefault="001F7860" w:rsidP="001F7860">
      <w:pPr>
        <w:rPr>
          <w:rFonts w:cs="Times New Roman (Body CS)"/>
          <w:szCs w:val="22"/>
        </w:rPr>
      </w:pPr>
    </w:p>
    <w:p w:rsidR="001F7860" w:rsidRDefault="001F7860" w:rsidP="001F7860">
      <w:pPr>
        <w:rPr>
          <w:rFonts w:cs="Times New Roman (Body CS)"/>
          <w:szCs w:val="22"/>
        </w:rPr>
      </w:pPr>
      <w:r>
        <w:rPr>
          <w:rFonts w:cs="Times New Roman (Body CS)"/>
          <w:szCs w:val="22"/>
        </w:rPr>
        <w:t>Title of Data Set:  10-Year Warm-Season Doppler Radar Climatology of Horizontal Convective Rolls and Cellular Convection in Central Oklahoma</w:t>
      </w:r>
    </w:p>
    <w:p w:rsidR="001F7860" w:rsidRDefault="001F7860" w:rsidP="001F7860">
      <w:pPr>
        <w:rPr>
          <w:rFonts w:cs="Times New Roman (Body CS)"/>
          <w:szCs w:val="22"/>
        </w:rPr>
      </w:pPr>
    </w:p>
    <w:p w:rsidR="001F7860" w:rsidRDefault="001F7860" w:rsidP="001F7860">
      <w:pPr>
        <w:rPr>
          <w:rFonts w:cs="Times New Roman (Body CS)"/>
          <w:szCs w:val="22"/>
        </w:rPr>
      </w:pPr>
      <w:r>
        <w:rPr>
          <w:rFonts w:cs="Times New Roman (Body CS)"/>
          <w:szCs w:val="22"/>
        </w:rPr>
        <w:t>Date of Final Data Set:  28 June 2019</w:t>
      </w:r>
    </w:p>
    <w:p w:rsidR="001F7860" w:rsidRDefault="001F7860" w:rsidP="001F7860">
      <w:pPr>
        <w:rPr>
          <w:rFonts w:cs="Times New Roman (Body CS)"/>
          <w:szCs w:val="22"/>
        </w:rPr>
      </w:pPr>
    </w:p>
    <w:p w:rsidR="001F7860" w:rsidRDefault="001F7860" w:rsidP="001F7860">
      <w:pPr>
        <w:rPr>
          <w:rFonts w:cs="Times New Roman (Body CS)"/>
          <w:szCs w:val="22"/>
        </w:rPr>
      </w:pPr>
      <w:r>
        <w:rPr>
          <w:rFonts w:cs="Times New Roman (Body CS)"/>
          <w:szCs w:val="22"/>
        </w:rPr>
        <w:t>Abstract of purpose and method:</w:t>
      </w:r>
    </w:p>
    <w:p w:rsidR="001F7860" w:rsidRDefault="001F7860" w:rsidP="001F7860">
      <w:pPr>
        <w:rPr>
          <w:rFonts w:cs="Times New Roman (Body CS)"/>
          <w:szCs w:val="22"/>
        </w:rPr>
      </w:pPr>
    </w:p>
    <w:p w:rsidR="001F7860" w:rsidRDefault="001F7860" w:rsidP="001F7860">
      <w:pPr>
        <w:rPr>
          <w:rFonts w:cs="Times New Roman (Body CS)"/>
          <w:szCs w:val="22"/>
        </w:rPr>
      </w:pPr>
      <w:r>
        <w:rPr>
          <w:rFonts w:cs="Times New Roman (Body CS)"/>
          <w:szCs w:val="22"/>
        </w:rPr>
        <w:t xml:space="preserve">Horizontal convective rolls (HCRs) and cellular convection (cells) are observed frequently within the convective boundary layer, yet a large data base of HCR and cell events </w:t>
      </w:r>
      <w:r>
        <w:rPr>
          <w:rFonts w:cs="Times New Roman (Body CS)"/>
          <w:szCs w:val="22"/>
        </w:rPr>
        <w:t xml:space="preserve">spanning several years </w:t>
      </w:r>
      <w:r>
        <w:rPr>
          <w:rFonts w:cs="Times New Roman (Body CS)"/>
          <w:szCs w:val="22"/>
        </w:rPr>
        <w:t xml:space="preserve">has </w:t>
      </w:r>
      <w:r>
        <w:rPr>
          <w:rFonts w:cs="Times New Roman (Body CS)"/>
          <w:szCs w:val="22"/>
        </w:rPr>
        <w:t xml:space="preserve">not </w:t>
      </w:r>
      <w:r>
        <w:rPr>
          <w:rFonts w:cs="Times New Roman (Body CS)"/>
          <w:szCs w:val="22"/>
        </w:rPr>
        <w:t>been</w:t>
      </w:r>
      <w:r>
        <w:rPr>
          <w:rFonts w:cs="Times New Roman (Body CS)"/>
          <w:szCs w:val="22"/>
        </w:rPr>
        <w:t xml:space="preserve"> </w:t>
      </w:r>
      <w:r w:rsidR="002F22F4">
        <w:rPr>
          <w:rFonts w:cs="Times New Roman (Body CS)"/>
          <w:szCs w:val="22"/>
        </w:rPr>
        <w:t xml:space="preserve">previously </w:t>
      </w:r>
      <w:r>
        <w:rPr>
          <w:rFonts w:cs="Times New Roman (Body CS)"/>
          <w:szCs w:val="22"/>
        </w:rPr>
        <w:t xml:space="preserve">available </w:t>
      </w:r>
      <w:r w:rsidR="00B22083">
        <w:rPr>
          <w:rFonts w:cs="Times New Roman (Body CS)"/>
          <w:szCs w:val="22"/>
        </w:rPr>
        <w:t>to</w:t>
      </w:r>
      <w:r>
        <w:rPr>
          <w:rFonts w:cs="Times New Roman (Body CS)"/>
          <w:szCs w:val="22"/>
        </w:rPr>
        <w:t xml:space="preserve"> researchers</w:t>
      </w:r>
      <w:r>
        <w:rPr>
          <w:rFonts w:cs="Times New Roman (Body CS)"/>
          <w:szCs w:val="22"/>
        </w:rPr>
        <w:t xml:space="preserve">.  This data set corrects this gap.  </w:t>
      </w:r>
      <w:r>
        <w:rPr>
          <w:rFonts w:cs="Times New Roman (Body CS)"/>
          <w:szCs w:val="22"/>
        </w:rPr>
        <w:t>D</w:t>
      </w:r>
      <w:r>
        <w:rPr>
          <w:rFonts w:cs="Times New Roman (Body CS)"/>
          <w:szCs w:val="22"/>
        </w:rPr>
        <w:t xml:space="preserve">aily information on HCRs and cells from the warm season (April-September) months of 2008 to 2017 </w:t>
      </w:r>
      <w:r>
        <w:rPr>
          <w:rFonts w:cs="Times New Roman (Body CS)"/>
          <w:szCs w:val="22"/>
        </w:rPr>
        <w:t>have been c</w:t>
      </w:r>
      <w:r w:rsidR="00B22083">
        <w:rPr>
          <w:rFonts w:cs="Times New Roman (Body CS)"/>
          <w:szCs w:val="22"/>
        </w:rPr>
        <w:t>reated</w:t>
      </w:r>
      <w:r>
        <w:rPr>
          <w:rFonts w:cs="Times New Roman (Body CS)"/>
          <w:szCs w:val="22"/>
        </w:rPr>
        <w:t xml:space="preserve"> over central Oklahoma and are provided </w:t>
      </w:r>
      <w:r>
        <w:rPr>
          <w:rFonts w:cs="Times New Roman (Body CS)"/>
          <w:szCs w:val="22"/>
        </w:rPr>
        <w:t>in a</w:t>
      </w:r>
      <w:r>
        <w:rPr>
          <w:rFonts w:cs="Times New Roman (Body CS)"/>
          <w:szCs w:val="22"/>
        </w:rPr>
        <w:t xml:space="preserve">n easy to use </w:t>
      </w:r>
      <w:r>
        <w:rPr>
          <w:rFonts w:cs="Times New Roman (Body CS)"/>
          <w:szCs w:val="22"/>
        </w:rPr>
        <w:t xml:space="preserve">Excel spreadsheet.  Doppler radar observations from the Twin Lakes (KTLX), Oklahoma, WSR-88D are used to determine the start and end times of HCRs and cells for each day during these </w:t>
      </w:r>
      <w:r>
        <w:rPr>
          <w:rFonts w:cs="Times New Roman (Body CS)"/>
          <w:szCs w:val="22"/>
        </w:rPr>
        <w:t xml:space="preserve">10 </w:t>
      </w:r>
      <w:r>
        <w:rPr>
          <w:rFonts w:cs="Times New Roman (Body CS)"/>
          <w:szCs w:val="22"/>
        </w:rPr>
        <w:t xml:space="preserve">years.  The start and end times were determined by visual inspection </w:t>
      </w:r>
      <w:r w:rsidR="002F22F4">
        <w:rPr>
          <w:rFonts w:cs="Times New Roman (Body CS)"/>
          <w:szCs w:val="22"/>
        </w:rPr>
        <w:t>of</w:t>
      </w:r>
      <w:r>
        <w:rPr>
          <w:rFonts w:cs="Times New Roman (Body CS)"/>
          <w:szCs w:val="22"/>
        </w:rPr>
        <w:t xml:space="preserve"> animated loops of </w:t>
      </w:r>
      <w:r w:rsidR="002F22F4">
        <w:rPr>
          <w:rFonts w:cs="Times New Roman (Body CS)"/>
          <w:szCs w:val="22"/>
        </w:rPr>
        <w:t xml:space="preserve">a </w:t>
      </w:r>
      <w:proofErr w:type="gramStart"/>
      <w:r>
        <w:rPr>
          <w:rFonts w:cs="Times New Roman (Body CS)"/>
          <w:szCs w:val="22"/>
        </w:rPr>
        <w:t>1.4 degree</w:t>
      </w:r>
      <w:proofErr w:type="gramEnd"/>
      <w:r>
        <w:rPr>
          <w:rFonts w:cs="Times New Roman (Body CS)"/>
          <w:szCs w:val="22"/>
        </w:rPr>
        <w:t xml:space="preserve"> elevation angle </w:t>
      </w:r>
      <w:r w:rsidR="002F22F4">
        <w:rPr>
          <w:rFonts w:cs="Times New Roman (Body CS)"/>
          <w:szCs w:val="22"/>
        </w:rPr>
        <w:t xml:space="preserve">plan position indicator (PPI) </w:t>
      </w:r>
      <w:r w:rsidR="002F22F4">
        <w:rPr>
          <w:rFonts w:cs="Times New Roman (Body CS)"/>
          <w:szCs w:val="22"/>
        </w:rPr>
        <w:t xml:space="preserve">display of </w:t>
      </w:r>
      <w:r>
        <w:rPr>
          <w:rFonts w:cs="Times New Roman (Body CS)"/>
          <w:szCs w:val="22"/>
        </w:rPr>
        <w:t xml:space="preserve">radar reflectivity observations between 1200 and 0000 UTC each day.  </w:t>
      </w:r>
      <w:r w:rsidR="002F22F4">
        <w:rPr>
          <w:rFonts w:cs="Times New Roman (Body CS)"/>
          <w:szCs w:val="22"/>
        </w:rPr>
        <w:t>Even in clear air conditions, WSR-88D observations are available roughly every 10 min, providing high temporal sampling</w:t>
      </w:r>
      <w:r w:rsidR="00B22083">
        <w:rPr>
          <w:rFonts w:cs="Times New Roman (Body CS)"/>
          <w:szCs w:val="22"/>
        </w:rPr>
        <w:t xml:space="preserve"> of the atmosphere near the radar</w:t>
      </w:r>
      <w:r w:rsidR="002F22F4">
        <w:rPr>
          <w:rFonts w:cs="Times New Roman (Body CS)"/>
          <w:szCs w:val="22"/>
        </w:rPr>
        <w:t xml:space="preserve">.  </w:t>
      </w:r>
      <w:proofErr w:type="spellStart"/>
      <w:r>
        <w:rPr>
          <w:rFonts w:cs="Times New Roman (Body CS)"/>
          <w:szCs w:val="22"/>
        </w:rPr>
        <w:t>There</w:t>
      </w:r>
      <w:proofErr w:type="spellEnd"/>
      <w:r>
        <w:rPr>
          <w:rFonts w:cs="Times New Roman (Body CS)"/>
          <w:szCs w:val="22"/>
        </w:rPr>
        <w:t xml:space="preserve"> are 1830 days during this 10-year </w:t>
      </w:r>
      <w:r w:rsidR="00B22083">
        <w:rPr>
          <w:rFonts w:cs="Times New Roman (Body CS)"/>
          <w:szCs w:val="22"/>
        </w:rPr>
        <w:t xml:space="preserve">warm-season </w:t>
      </w:r>
      <w:r>
        <w:rPr>
          <w:rFonts w:cs="Times New Roman (Body CS)"/>
          <w:szCs w:val="22"/>
        </w:rPr>
        <w:t xml:space="preserve">period and KTLX observations are available on 1807 days.  Of these </w:t>
      </w:r>
      <w:r w:rsidR="00B22083">
        <w:rPr>
          <w:rFonts w:cs="Times New Roman (Body CS)"/>
          <w:szCs w:val="22"/>
        </w:rPr>
        <w:t xml:space="preserve">1807 </w:t>
      </w:r>
      <w:r>
        <w:rPr>
          <w:rFonts w:cs="Times New Roman (Body CS)"/>
          <w:szCs w:val="22"/>
        </w:rPr>
        <w:t>days, HCRs and/or cells are observed on 1382 days</w:t>
      </w:r>
      <w:r w:rsidR="002F22F4">
        <w:rPr>
          <w:rFonts w:cs="Times New Roman (Body CS)"/>
          <w:szCs w:val="22"/>
        </w:rPr>
        <w:t xml:space="preserve"> as discussed in </w:t>
      </w:r>
      <w:proofErr w:type="spellStart"/>
      <w:r w:rsidR="002F22F4">
        <w:rPr>
          <w:rFonts w:cs="Times New Roman (Body CS)"/>
          <w:szCs w:val="22"/>
        </w:rPr>
        <w:t>Banghoff</w:t>
      </w:r>
      <w:proofErr w:type="spellEnd"/>
      <w:r w:rsidR="002F22F4">
        <w:rPr>
          <w:rFonts w:cs="Times New Roman (Body CS)"/>
          <w:szCs w:val="22"/>
        </w:rPr>
        <w:t xml:space="preserve"> et al. (2020)</w:t>
      </w:r>
      <w:r>
        <w:rPr>
          <w:rFonts w:cs="Times New Roman (Body CS)"/>
          <w:szCs w:val="22"/>
        </w:rPr>
        <w:t xml:space="preserve">, with the majority of the days without HCRs and/or cells being days with precipitation.  </w:t>
      </w:r>
      <w:r w:rsidR="002F22F4">
        <w:rPr>
          <w:rFonts w:cs="Times New Roman (Body CS)"/>
          <w:szCs w:val="22"/>
        </w:rPr>
        <w:t>In addition to the start and end times of HCRs and cells, and their transitions, KTLX observations from 201</w:t>
      </w:r>
      <w:r w:rsidR="00B22083">
        <w:rPr>
          <w:rFonts w:cs="Times New Roman (Body CS)"/>
          <w:szCs w:val="22"/>
        </w:rPr>
        <w:t>3</w:t>
      </w:r>
      <w:r w:rsidR="002F22F4">
        <w:rPr>
          <w:rFonts w:cs="Times New Roman (Body CS)"/>
          <w:szCs w:val="22"/>
        </w:rPr>
        <w:t>-201</w:t>
      </w:r>
      <w:r w:rsidR="00B22083">
        <w:rPr>
          <w:rFonts w:cs="Times New Roman (Body CS)"/>
          <w:szCs w:val="22"/>
        </w:rPr>
        <w:t>7</w:t>
      </w:r>
      <w:r w:rsidR="002F22F4">
        <w:rPr>
          <w:rFonts w:cs="Times New Roman (Body CS)"/>
          <w:szCs w:val="22"/>
        </w:rPr>
        <w:t xml:space="preserve"> are used to determine HCR and cell wavelengths and aspect ratios and HCR orientation angles.  Only data from 201</w:t>
      </w:r>
      <w:r w:rsidR="006202D1">
        <w:rPr>
          <w:rFonts w:cs="Times New Roman (Body CS)"/>
          <w:szCs w:val="22"/>
        </w:rPr>
        <w:t>3</w:t>
      </w:r>
      <w:r w:rsidR="002F22F4">
        <w:rPr>
          <w:rFonts w:cs="Times New Roman (Body CS)"/>
          <w:szCs w:val="22"/>
        </w:rPr>
        <w:t xml:space="preserve"> onward are used for these more detailed analyses owing to the availab</w:t>
      </w:r>
      <w:r w:rsidR="00B22083">
        <w:rPr>
          <w:rFonts w:cs="Times New Roman (Body CS)"/>
          <w:szCs w:val="22"/>
        </w:rPr>
        <w:t>ility</w:t>
      </w:r>
      <w:r w:rsidR="002F22F4">
        <w:rPr>
          <w:rFonts w:cs="Times New Roman (Body CS)"/>
          <w:szCs w:val="22"/>
        </w:rPr>
        <w:t xml:space="preserve"> of dual-polarization observations starting in 201</w:t>
      </w:r>
      <w:r w:rsidR="006202D1">
        <w:rPr>
          <w:rFonts w:cs="Times New Roman (Body CS)"/>
          <w:szCs w:val="22"/>
        </w:rPr>
        <w:t>3</w:t>
      </w:r>
      <w:r w:rsidR="002F22F4">
        <w:rPr>
          <w:rFonts w:cs="Times New Roman (Body CS)"/>
          <w:szCs w:val="22"/>
        </w:rPr>
        <w:t xml:space="preserve"> which allow for the estimation of convective boundary layer depth (see </w:t>
      </w:r>
      <w:proofErr w:type="spellStart"/>
      <w:r w:rsidR="002F22F4">
        <w:rPr>
          <w:rFonts w:cs="Times New Roman (Body CS)"/>
          <w:szCs w:val="22"/>
        </w:rPr>
        <w:t>Banghoff</w:t>
      </w:r>
      <w:proofErr w:type="spellEnd"/>
      <w:r w:rsidR="002F22F4">
        <w:rPr>
          <w:rFonts w:cs="Times New Roman (Body CS)"/>
          <w:szCs w:val="22"/>
        </w:rPr>
        <w:t xml:space="preserve"> et al. 2018).  An analysis of these data is presented in </w:t>
      </w:r>
      <w:proofErr w:type="spellStart"/>
      <w:r w:rsidR="002F22F4">
        <w:rPr>
          <w:rFonts w:cs="Times New Roman (Body CS)"/>
          <w:szCs w:val="22"/>
        </w:rPr>
        <w:t>Banghoff</w:t>
      </w:r>
      <w:proofErr w:type="spellEnd"/>
      <w:r w:rsidR="002F22F4">
        <w:rPr>
          <w:rFonts w:cs="Times New Roman (Body CS)"/>
          <w:szCs w:val="22"/>
        </w:rPr>
        <w:t xml:space="preserve"> et al. (2020) that includes a careful analysis of the frequency of HCRs and cells, their duration, wavelengths, aspect ratios, and HCR orientation angles.  These results are compared to those from earlier studies to set the 10-year climatology into context. </w:t>
      </w:r>
      <w:r w:rsidR="00B22083">
        <w:rPr>
          <w:rFonts w:cs="Times New Roman (Body CS)"/>
          <w:szCs w:val="22"/>
        </w:rPr>
        <w:t xml:space="preserve"> With such a lengthy and rich data set, we expect that others will benefit from the daily information on HCRs and cells created as part of our research studies.  </w:t>
      </w:r>
    </w:p>
    <w:p w:rsidR="002F22F4" w:rsidRDefault="002F22F4" w:rsidP="001F7860">
      <w:pPr>
        <w:rPr>
          <w:rFonts w:cs="Times New Roman (Body CS)"/>
          <w:szCs w:val="22"/>
        </w:rPr>
      </w:pPr>
    </w:p>
    <w:p w:rsidR="002F22F4" w:rsidRDefault="002F22F4" w:rsidP="001F7860">
      <w:pPr>
        <w:rPr>
          <w:rFonts w:cs="Times New Roman (Body CS)"/>
          <w:szCs w:val="22"/>
        </w:rPr>
      </w:pPr>
      <w:r>
        <w:rPr>
          <w:rFonts w:cs="Times New Roman (Body CS)"/>
          <w:szCs w:val="22"/>
        </w:rPr>
        <w:t>Researchers:</w:t>
      </w:r>
    </w:p>
    <w:p w:rsidR="006202D1" w:rsidRDefault="006202D1" w:rsidP="001F7860">
      <w:pPr>
        <w:rPr>
          <w:rFonts w:cs="Times New Roman (Body CS)"/>
          <w:szCs w:val="22"/>
        </w:rPr>
      </w:pPr>
    </w:p>
    <w:p w:rsidR="006202D1" w:rsidRDefault="006202D1" w:rsidP="001F7860">
      <w:pPr>
        <w:rPr>
          <w:rFonts w:cs="Times New Roman (Body CS)"/>
          <w:szCs w:val="22"/>
        </w:rPr>
      </w:pPr>
      <w:r>
        <w:rPr>
          <w:rFonts w:cs="Times New Roman (Body CS)"/>
          <w:szCs w:val="22"/>
        </w:rPr>
        <w:t xml:space="preserve">David J. Stensrud and Matthew R. </w:t>
      </w:r>
      <w:proofErr w:type="spellStart"/>
      <w:r>
        <w:rPr>
          <w:rFonts w:cs="Times New Roman (Body CS)"/>
          <w:szCs w:val="22"/>
        </w:rPr>
        <w:t>Kumjian</w:t>
      </w:r>
      <w:proofErr w:type="spellEnd"/>
      <w:r>
        <w:rPr>
          <w:rFonts w:cs="Times New Roman (Body CS)"/>
          <w:szCs w:val="22"/>
        </w:rPr>
        <w:t>, Principal Investigators, Department of Meteorology and Atmospheric Science</w:t>
      </w:r>
      <w:r w:rsidR="00B22083">
        <w:rPr>
          <w:rFonts w:cs="Times New Roman (Body CS)"/>
          <w:szCs w:val="22"/>
        </w:rPr>
        <w:t>, The Pennsylvania State University</w:t>
      </w:r>
    </w:p>
    <w:p w:rsidR="006202D1" w:rsidRDefault="006202D1" w:rsidP="001F7860">
      <w:pPr>
        <w:rPr>
          <w:rFonts w:cs="Times New Roman (Body CS)"/>
          <w:szCs w:val="22"/>
        </w:rPr>
      </w:pPr>
    </w:p>
    <w:p w:rsidR="006202D1" w:rsidRDefault="006202D1" w:rsidP="001F7860">
      <w:pPr>
        <w:rPr>
          <w:rFonts w:cs="Times New Roman (Body CS)"/>
          <w:szCs w:val="22"/>
        </w:rPr>
      </w:pPr>
      <w:r>
        <w:rPr>
          <w:rFonts w:cs="Times New Roman (Body CS)"/>
          <w:szCs w:val="22"/>
        </w:rPr>
        <w:t xml:space="preserve">John R. </w:t>
      </w:r>
      <w:proofErr w:type="spellStart"/>
      <w:r>
        <w:rPr>
          <w:rFonts w:cs="Times New Roman (Body CS)"/>
          <w:szCs w:val="22"/>
        </w:rPr>
        <w:t>Banghoff</w:t>
      </w:r>
      <w:proofErr w:type="spellEnd"/>
      <w:r>
        <w:rPr>
          <w:rFonts w:cs="Times New Roman (Body CS)"/>
          <w:szCs w:val="22"/>
        </w:rPr>
        <w:t xml:space="preserve">, </w:t>
      </w:r>
      <w:proofErr w:type="spellStart"/>
      <w:proofErr w:type="gramStart"/>
      <w:r w:rsidR="00B22083">
        <w:rPr>
          <w:rFonts w:cs="Times New Roman (Body CS)"/>
          <w:szCs w:val="22"/>
        </w:rPr>
        <w:t>Masters</w:t>
      </w:r>
      <w:proofErr w:type="spellEnd"/>
      <w:r w:rsidR="00B22083">
        <w:rPr>
          <w:rFonts w:cs="Times New Roman (Body CS)"/>
          <w:szCs w:val="22"/>
        </w:rPr>
        <w:t xml:space="preserve"> of Science</w:t>
      </w:r>
      <w:proofErr w:type="gramEnd"/>
      <w:r w:rsidR="00B22083">
        <w:rPr>
          <w:rFonts w:cs="Times New Roman (Body CS)"/>
          <w:szCs w:val="22"/>
        </w:rPr>
        <w:t xml:space="preserve"> </w:t>
      </w:r>
      <w:r>
        <w:rPr>
          <w:rFonts w:cs="Times New Roman (Body CS)"/>
          <w:szCs w:val="22"/>
        </w:rPr>
        <w:t xml:space="preserve">Graduate </w:t>
      </w:r>
      <w:r w:rsidR="00B22083">
        <w:rPr>
          <w:rFonts w:cs="Times New Roman (Body CS)"/>
          <w:szCs w:val="22"/>
        </w:rPr>
        <w:t>S</w:t>
      </w:r>
      <w:r>
        <w:rPr>
          <w:rFonts w:cs="Times New Roman (Body CS)"/>
          <w:szCs w:val="22"/>
        </w:rPr>
        <w:t>tudent</w:t>
      </w:r>
    </w:p>
    <w:p w:rsidR="006202D1" w:rsidRDefault="006202D1" w:rsidP="001F7860">
      <w:pPr>
        <w:rPr>
          <w:rFonts w:cs="Times New Roman (Body CS)"/>
          <w:szCs w:val="22"/>
        </w:rPr>
      </w:pPr>
      <w:r>
        <w:rPr>
          <w:rFonts w:cs="Times New Roman (Body CS)"/>
          <w:szCs w:val="22"/>
        </w:rPr>
        <w:t xml:space="preserve">Jacob D. </w:t>
      </w:r>
      <w:proofErr w:type="spellStart"/>
      <w:r>
        <w:rPr>
          <w:rFonts w:cs="Times New Roman (Body CS)"/>
          <w:szCs w:val="22"/>
        </w:rPr>
        <w:t>Sorber</w:t>
      </w:r>
      <w:proofErr w:type="spellEnd"/>
      <w:r>
        <w:rPr>
          <w:rFonts w:cs="Times New Roman (Body CS)"/>
          <w:szCs w:val="22"/>
        </w:rPr>
        <w:t>, Undergraduate Researcher</w:t>
      </w:r>
    </w:p>
    <w:p w:rsidR="006202D1" w:rsidRDefault="006202D1" w:rsidP="001F7860">
      <w:pPr>
        <w:rPr>
          <w:rFonts w:cs="Times New Roman (Body CS)"/>
          <w:szCs w:val="22"/>
        </w:rPr>
      </w:pPr>
    </w:p>
    <w:p w:rsidR="006202D1" w:rsidRDefault="006202D1" w:rsidP="001F7860">
      <w:pPr>
        <w:rPr>
          <w:rFonts w:cs="Times New Roman (Body CS)"/>
          <w:szCs w:val="22"/>
        </w:rPr>
      </w:pPr>
      <w:r>
        <w:rPr>
          <w:rFonts w:cs="Times New Roman (Body CS)"/>
          <w:szCs w:val="22"/>
        </w:rPr>
        <w:t>Data access:  ftp</w:t>
      </w:r>
    </w:p>
    <w:p w:rsidR="006202D1" w:rsidRDefault="006202D1" w:rsidP="001F7860">
      <w:pPr>
        <w:rPr>
          <w:rFonts w:cs="Times New Roman (Body CS)"/>
          <w:szCs w:val="22"/>
        </w:rPr>
      </w:pPr>
    </w:p>
    <w:p w:rsidR="006202D1" w:rsidRDefault="006202D1" w:rsidP="001F7860">
      <w:pPr>
        <w:rPr>
          <w:rFonts w:cs="Times New Roman (Body CS)"/>
          <w:szCs w:val="22"/>
        </w:rPr>
      </w:pPr>
      <w:r>
        <w:rPr>
          <w:rFonts w:cs="Times New Roman (Body CS)"/>
          <w:szCs w:val="22"/>
        </w:rPr>
        <w:lastRenderedPageBreak/>
        <w:t xml:space="preserve">Additional information:  </w:t>
      </w:r>
    </w:p>
    <w:p w:rsidR="006202D1" w:rsidRDefault="006202D1" w:rsidP="001F7860">
      <w:pPr>
        <w:rPr>
          <w:rFonts w:cs="Times New Roman (Body CS)"/>
          <w:szCs w:val="22"/>
        </w:rPr>
      </w:pPr>
    </w:p>
    <w:p w:rsidR="006202D1" w:rsidRDefault="006202D1" w:rsidP="001F7860">
      <w:pPr>
        <w:rPr>
          <w:rFonts w:cs="Times New Roman (Body CS)"/>
          <w:szCs w:val="22"/>
        </w:rPr>
      </w:pPr>
      <w:r>
        <w:rPr>
          <w:rFonts w:cs="Times New Roman (Body CS)"/>
          <w:szCs w:val="22"/>
        </w:rPr>
        <w:t xml:space="preserve">Data in the spreadsheet are organized by year.  Days from 1 April through 30 September are shown by row, with columns for start and end times for HCRs (rolls) and Cells.  </w:t>
      </w:r>
      <w:r w:rsidR="00B22083">
        <w:rPr>
          <w:rFonts w:cs="Times New Roman (Body CS)"/>
          <w:szCs w:val="22"/>
        </w:rPr>
        <w:t xml:space="preserve">Tabs indicate the different years (2008 – 2017). </w:t>
      </w:r>
      <w:r>
        <w:rPr>
          <w:rFonts w:cs="Times New Roman (Body CS)"/>
          <w:szCs w:val="22"/>
        </w:rPr>
        <w:t xml:space="preserve">Times of transition </w:t>
      </w:r>
      <w:r w:rsidR="00B22083">
        <w:rPr>
          <w:rFonts w:cs="Times New Roman (Body CS)"/>
          <w:szCs w:val="22"/>
        </w:rPr>
        <w:t xml:space="preserve">from HCRs to cells or vice versa </w:t>
      </w:r>
      <w:r>
        <w:rPr>
          <w:rFonts w:cs="Times New Roman (Body CS)"/>
          <w:szCs w:val="22"/>
        </w:rPr>
        <w:t xml:space="preserve">also </w:t>
      </w:r>
      <w:r w:rsidR="00B22083">
        <w:rPr>
          <w:rFonts w:cs="Times New Roman (Body CS)"/>
          <w:szCs w:val="22"/>
        </w:rPr>
        <w:t xml:space="preserve">are </w:t>
      </w:r>
      <w:r>
        <w:rPr>
          <w:rFonts w:cs="Times New Roman (Body CS)"/>
          <w:szCs w:val="22"/>
        </w:rPr>
        <w:t xml:space="preserve">indicated.  All times are UTC.  </w:t>
      </w:r>
      <w:proofErr w:type="spellStart"/>
      <w:r>
        <w:rPr>
          <w:rFonts w:cs="Times New Roman (Body CS)"/>
          <w:szCs w:val="22"/>
        </w:rPr>
        <w:t>NaN</w:t>
      </w:r>
      <w:proofErr w:type="spellEnd"/>
      <w:r>
        <w:rPr>
          <w:rFonts w:cs="Times New Roman (Body CS)"/>
          <w:szCs w:val="22"/>
        </w:rPr>
        <w:t xml:space="preserve"> means no</w:t>
      </w:r>
      <w:r w:rsidR="00B22083">
        <w:rPr>
          <w:rFonts w:cs="Times New Roman (Body CS)"/>
          <w:szCs w:val="22"/>
        </w:rPr>
        <w:t>t observed</w:t>
      </w:r>
      <w:r>
        <w:rPr>
          <w:rFonts w:cs="Times New Roman (Body CS)"/>
          <w:szCs w:val="22"/>
        </w:rPr>
        <w:t xml:space="preserve">.  Wavelength, orientation and aspect ratio information only for years 2013-2017.  Wavelength and convective boundary layer (CBL) depth in </w:t>
      </w:r>
      <w:r w:rsidR="00B22083">
        <w:rPr>
          <w:rFonts w:cs="Times New Roman (Body CS)"/>
          <w:szCs w:val="22"/>
        </w:rPr>
        <w:t xml:space="preserve">units of </w:t>
      </w:r>
      <w:r>
        <w:rPr>
          <w:rFonts w:cs="Times New Roman (Body CS)"/>
          <w:szCs w:val="22"/>
        </w:rPr>
        <w:t xml:space="preserve">km.  Orientation angle in standard degrees from north, so 180 degrees means winds are from due south.  VAD is the Velocity Azimuth Display approach that uses Doppler radial velocity observations to calculate the mean wind at a selected distance from the radar.  Orientation departure is VAD wind orientation minus the HCR orientation, providing information on how close the HCRs are aligned with the mean CBL wind.  </w:t>
      </w:r>
      <w:bookmarkStart w:id="0" w:name="_GoBack"/>
      <w:bookmarkEnd w:id="0"/>
    </w:p>
    <w:p w:rsidR="0013118E" w:rsidRDefault="0013118E" w:rsidP="001F7860">
      <w:pPr>
        <w:rPr>
          <w:rFonts w:cs="Times New Roman (Body CS)"/>
          <w:szCs w:val="22"/>
        </w:rPr>
      </w:pPr>
    </w:p>
    <w:p w:rsidR="0013118E" w:rsidRDefault="0013118E" w:rsidP="001F7860">
      <w:pPr>
        <w:rPr>
          <w:rFonts w:cs="Times New Roman (Body CS)"/>
          <w:szCs w:val="22"/>
        </w:rPr>
      </w:pPr>
      <w:r>
        <w:rPr>
          <w:rFonts w:cs="Times New Roman (Body CS)"/>
          <w:szCs w:val="22"/>
        </w:rPr>
        <w:t>Keywords:</w:t>
      </w:r>
    </w:p>
    <w:p w:rsidR="0013118E" w:rsidRDefault="0013118E" w:rsidP="001F7860">
      <w:pPr>
        <w:rPr>
          <w:rFonts w:cs="Times New Roman (Body CS)"/>
          <w:szCs w:val="22"/>
        </w:rPr>
      </w:pPr>
    </w:p>
    <w:p w:rsidR="0013118E" w:rsidRDefault="0013118E" w:rsidP="001F7860">
      <w:pPr>
        <w:rPr>
          <w:rFonts w:cs="Times New Roman (Body CS)"/>
          <w:szCs w:val="22"/>
        </w:rPr>
      </w:pPr>
      <w:r>
        <w:rPr>
          <w:rFonts w:cs="Times New Roman (Body CS)"/>
          <w:szCs w:val="22"/>
        </w:rPr>
        <w:t>Horizontal convective rolls</w:t>
      </w:r>
    </w:p>
    <w:p w:rsidR="0013118E" w:rsidRDefault="0013118E" w:rsidP="001F7860">
      <w:pPr>
        <w:rPr>
          <w:rFonts w:cs="Times New Roman (Body CS)"/>
          <w:szCs w:val="22"/>
        </w:rPr>
      </w:pPr>
      <w:r>
        <w:rPr>
          <w:rFonts w:cs="Times New Roman (Body CS)"/>
          <w:szCs w:val="22"/>
        </w:rPr>
        <w:t>Cellular convection</w:t>
      </w:r>
    </w:p>
    <w:p w:rsidR="0013118E" w:rsidRDefault="0013118E" w:rsidP="001F7860">
      <w:pPr>
        <w:rPr>
          <w:rFonts w:cs="Times New Roman (Body CS)"/>
          <w:szCs w:val="22"/>
        </w:rPr>
      </w:pPr>
      <w:r>
        <w:rPr>
          <w:rFonts w:cs="Times New Roman (Body CS)"/>
          <w:szCs w:val="22"/>
        </w:rPr>
        <w:t>Climatology</w:t>
      </w:r>
    </w:p>
    <w:p w:rsidR="0013118E" w:rsidRDefault="0013118E" w:rsidP="001F7860">
      <w:pPr>
        <w:rPr>
          <w:rFonts w:cs="Times New Roman (Body CS)"/>
          <w:szCs w:val="22"/>
        </w:rPr>
      </w:pPr>
      <w:r>
        <w:rPr>
          <w:rFonts w:cs="Times New Roman (Body CS)"/>
          <w:szCs w:val="22"/>
        </w:rPr>
        <w:t>Convective boundary layer</w:t>
      </w:r>
    </w:p>
    <w:p w:rsidR="0013118E" w:rsidRDefault="0013118E" w:rsidP="001F7860">
      <w:pPr>
        <w:rPr>
          <w:rFonts w:cs="Times New Roman (Body CS)"/>
          <w:szCs w:val="22"/>
        </w:rPr>
      </w:pPr>
    </w:p>
    <w:p w:rsidR="0013118E" w:rsidRDefault="0013118E" w:rsidP="001F7860">
      <w:pPr>
        <w:rPr>
          <w:rFonts w:cs="Times New Roman (Body CS)"/>
          <w:szCs w:val="22"/>
        </w:rPr>
      </w:pPr>
      <w:r>
        <w:rPr>
          <w:rFonts w:cs="Times New Roman (Body CS)"/>
          <w:szCs w:val="22"/>
        </w:rPr>
        <w:t>References:</w:t>
      </w:r>
    </w:p>
    <w:p w:rsidR="0013118E" w:rsidRDefault="0013118E" w:rsidP="001F7860">
      <w:pPr>
        <w:rPr>
          <w:rFonts w:cs="Times New Roman (Body CS)"/>
          <w:szCs w:val="22"/>
        </w:rPr>
      </w:pPr>
    </w:p>
    <w:p w:rsidR="0013118E" w:rsidRPr="00885508" w:rsidRDefault="0013118E" w:rsidP="0013118E">
      <w:pPr>
        <w:spacing w:line="360" w:lineRule="auto"/>
        <w:ind w:left="540" w:hanging="540"/>
      </w:pPr>
      <w:proofErr w:type="spellStart"/>
      <w:r w:rsidRPr="00885508">
        <w:rPr>
          <w:rStyle w:val="artauthors"/>
        </w:rPr>
        <w:t>Banghoff</w:t>
      </w:r>
      <w:proofErr w:type="spellEnd"/>
      <w:r w:rsidRPr="00885508">
        <w:rPr>
          <w:rStyle w:val="artauthors"/>
        </w:rPr>
        <w:t xml:space="preserve">, J. R., D. J. Stensrud, and M. R. </w:t>
      </w:r>
      <w:proofErr w:type="spellStart"/>
      <w:r w:rsidRPr="00885508">
        <w:rPr>
          <w:rStyle w:val="artauthors"/>
        </w:rPr>
        <w:t>Kumjian</w:t>
      </w:r>
      <w:proofErr w:type="spellEnd"/>
      <w:r w:rsidRPr="00885508">
        <w:t xml:space="preserve">, </w:t>
      </w:r>
      <w:r w:rsidRPr="00885508">
        <w:rPr>
          <w:rStyle w:val="year"/>
        </w:rPr>
        <w:t>2018</w:t>
      </w:r>
      <w:r w:rsidRPr="00885508">
        <w:t xml:space="preserve">: </w:t>
      </w:r>
      <w:hyperlink r:id="rId4" w:history="1">
        <w:r w:rsidRPr="00885508">
          <w:rPr>
            <w:rStyle w:val="Hyperlink"/>
          </w:rPr>
          <w:t>Convective boundary layer depth estimation from S-band dual-polarization radar.</w:t>
        </w:r>
      </w:hyperlink>
      <w:r w:rsidRPr="00885508">
        <w:t xml:space="preserve"> </w:t>
      </w:r>
      <w:r w:rsidRPr="00885508">
        <w:rPr>
          <w:rStyle w:val="journalname"/>
          <w:i/>
          <w:iCs/>
        </w:rPr>
        <w:t>J. Atmos. Oceanic Technol.,</w:t>
      </w:r>
      <w:r w:rsidRPr="00885508">
        <w:t xml:space="preserve"> </w:t>
      </w:r>
      <w:r w:rsidRPr="00885508">
        <w:rPr>
          <w:rStyle w:val="volume"/>
          <w:b/>
          <w:bCs/>
        </w:rPr>
        <w:t>35</w:t>
      </w:r>
      <w:r w:rsidRPr="00885508">
        <w:t xml:space="preserve">, </w:t>
      </w:r>
      <w:r w:rsidRPr="00885508">
        <w:rPr>
          <w:rStyle w:val="page"/>
        </w:rPr>
        <w:t xml:space="preserve">1723–1733, </w:t>
      </w:r>
      <w:hyperlink r:id="rId5" w:history="1">
        <w:r w:rsidRPr="00885508">
          <w:rPr>
            <w:rStyle w:val="Hyperlink"/>
          </w:rPr>
          <w:t>https://doi.org/10.1175/JTECH-D-17-0210.1</w:t>
        </w:r>
      </w:hyperlink>
    </w:p>
    <w:p w:rsidR="0013118E" w:rsidRDefault="0013118E" w:rsidP="0013118E">
      <w:pPr>
        <w:spacing w:line="360" w:lineRule="auto"/>
        <w:ind w:left="540" w:hanging="540"/>
        <w:rPr>
          <w:rStyle w:val="Hyperlink"/>
        </w:rPr>
      </w:pPr>
      <w:proofErr w:type="spellStart"/>
      <w:r>
        <w:rPr>
          <w:rStyle w:val="artauthors"/>
        </w:rPr>
        <w:t>Banghoff</w:t>
      </w:r>
      <w:proofErr w:type="spellEnd"/>
      <w:r>
        <w:rPr>
          <w:rStyle w:val="artauthors"/>
        </w:rPr>
        <w:t>, J. R.</w:t>
      </w:r>
      <w:r w:rsidRPr="00885508">
        <w:rPr>
          <w:rStyle w:val="artauthors"/>
        </w:rPr>
        <w:t xml:space="preserve">, J. D. </w:t>
      </w:r>
      <w:proofErr w:type="spellStart"/>
      <w:r w:rsidRPr="00885508">
        <w:rPr>
          <w:rStyle w:val="artauthors"/>
        </w:rPr>
        <w:t>Sorber</w:t>
      </w:r>
      <w:proofErr w:type="spellEnd"/>
      <w:r w:rsidRPr="00885508">
        <w:rPr>
          <w:rStyle w:val="artauthors"/>
        </w:rPr>
        <w:t xml:space="preserve">, D. J. Stensrud, G. S. Young, and M. R. </w:t>
      </w:r>
      <w:proofErr w:type="spellStart"/>
      <w:r w:rsidRPr="00885508">
        <w:rPr>
          <w:rStyle w:val="artauthors"/>
        </w:rPr>
        <w:t>Kumjian</w:t>
      </w:r>
      <w:proofErr w:type="spellEnd"/>
      <w:r w:rsidRPr="00885508">
        <w:t xml:space="preserve">, </w:t>
      </w:r>
      <w:r w:rsidRPr="00885508">
        <w:rPr>
          <w:rStyle w:val="year"/>
        </w:rPr>
        <w:t>2020</w:t>
      </w:r>
      <w:r w:rsidRPr="00885508">
        <w:t xml:space="preserve">: </w:t>
      </w:r>
      <w:hyperlink r:id="rId6" w:history="1">
        <w:r w:rsidRPr="00885508">
          <w:rPr>
            <w:rStyle w:val="Hyperlink"/>
          </w:rPr>
          <w:t>A 10-year warm-season climatology of horizontal convective rolls and cellular convection in central Oklahoma.</w:t>
        </w:r>
      </w:hyperlink>
      <w:r w:rsidRPr="00885508">
        <w:t xml:space="preserve"> </w:t>
      </w:r>
      <w:r w:rsidRPr="00885508">
        <w:rPr>
          <w:rStyle w:val="journalname"/>
          <w:i/>
          <w:iCs/>
        </w:rPr>
        <w:t xml:space="preserve">Mon. </w:t>
      </w:r>
      <w:proofErr w:type="spellStart"/>
      <w:r w:rsidRPr="00885508">
        <w:rPr>
          <w:rStyle w:val="journalname"/>
          <w:i/>
          <w:iCs/>
        </w:rPr>
        <w:t>Wea</w:t>
      </w:r>
      <w:proofErr w:type="spellEnd"/>
      <w:r w:rsidRPr="00885508">
        <w:rPr>
          <w:rStyle w:val="journalname"/>
          <w:i/>
          <w:iCs/>
        </w:rPr>
        <w:t>. Rev.,</w:t>
      </w:r>
      <w:r w:rsidRPr="00885508">
        <w:t xml:space="preserve"> </w:t>
      </w:r>
      <w:r w:rsidRPr="00885508">
        <w:rPr>
          <w:rStyle w:val="volume"/>
          <w:b/>
          <w:bCs/>
        </w:rPr>
        <w:t>148</w:t>
      </w:r>
      <w:r w:rsidRPr="00885508">
        <w:t xml:space="preserve">, </w:t>
      </w:r>
      <w:r w:rsidRPr="00885508">
        <w:rPr>
          <w:rStyle w:val="page"/>
        </w:rPr>
        <w:t xml:space="preserve">21–42, </w:t>
      </w:r>
      <w:hyperlink r:id="rId7" w:history="1">
        <w:r w:rsidRPr="00885508">
          <w:rPr>
            <w:rStyle w:val="Hyperlink"/>
          </w:rPr>
          <w:t>https://doi.org/10.1175/MWR-D-19-0136.1</w:t>
        </w:r>
      </w:hyperlink>
    </w:p>
    <w:p w:rsidR="0013118E" w:rsidRDefault="0013118E" w:rsidP="0013118E">
      <w:pPr>
        <w:spacing w:line="360" w:lineRule="auto"/>
        <w:ind w:left="540" w:hanging="540"/>
        <w:rPr>
          <w:rStyle w:val="Hyperlink"/>
        </w:rPr>
      </w:pPr>
    </w:p>
    <w:p w:rsidR="0013118E" w:rsidRDefault="0013118E" w:rsidP="0013118E">
      <w:pPr>
        <w:spacing w:line="360" w:lineRule="auto"/>
        <w:ind w:left="540" w:hanging="540"/>
      </w:pPr>
      <w:r>
        <w:t xml:space="preserve">DOI:  I would like a </w:t>
      </w:r>
      <w:proofErr w:type="spellStart"/>
      <w:r>
        <w:t>doi</w:t>
      </w:r>
      <w:proofErr w:type="spellEnd"/>
      <w:r>
        <w:t xml:space="preserve"> for this data set</w:t>
      </w:r>
    </w:p>
    <w:p w:rsidR="0013118E" w:rsidRDefault="0013118E" w:rsidP="0013118E">
      <w:pPr>
        <w:spacing w:line="360" w:lineRule="auto"/>
      </w:pPr>
      <w:r>
        <w:t>Supplementary materials:  None</w:t>
      </w:r>
    </w:p>
    <w:p w:rsidR="0013118E" w:rsidRDefault="0013118E" w:rsidP="0013118E">
      <w:pPr>
        <w:spacing w:line="360" w:lineRule="auto"/>
      </w:pPr>
      <w:r>
        <w:t>Additional Points of Access: No</w:t>
      </w:r>
    </w:p>
    <w:p w:rsidR="0013118E" w:rsidRDefault="0013118E" w:rsidP="0013118E">
      <w:pPr>
        <w:spacing w:line="360" w:lineRule="auto"/>
      </w:pPr>
    </w:p>
    <w:p w:rsidR="0013118E" w:rsidRPr="00885508" w:rsidRDefault="0013118E" w:rsidP="0013118E">
      <w:pPr>
        <w:spacing w:line="360" w:lineRule="auto"/>
      </w:pPr>
    </w:p>
    <w:p w:rsidR="0013118E" w:rsidRDefault="0013118E" w:rsidP="001F7860">
      <w:pPr>
        <w:rPr>
          <w:rFonts w:cs="Times New Roman (Body CS)"/>
          <w:szCs w:val="22"/>
        </w:rPr>
      </w:pPr>
    </w:p>
    <w:p w:rsidR="00C8433F" w:rsidRDefault="00B22083"/>
    <w:sectPr w:rsidR="00C8433F" w:rsidSect="00BF090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New Roman (Body CS)">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7860"/>
    <w:rsid w:val="000961C3"/>
    <w:rsid w:val="0013118E"/>
    <w:rsid w:val="001F7860"/>
    <w:rsid w:val="00282BEB"/>
    <w:rsid w:val="002F22F4"/>
    <w:rsid w:val="005C3B82"/>
    <w:rsid w:val="006202D1"/>
    <w:rsid w:val="007F67AE"/>
    <w:rsid w:val="00B22083"/>
    <w:rsid w:val="00BF09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1D53EB0"/>
  <w15:chartTrackingRefBased/>
  <w15:docId w15:val="{6109FCC0-BFDB-304B-B45E-6429C520C0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1F786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3118E"/>
    <w:rPr>
      <w:color w:val="0000FF"/>
      <w:u w:val="single"/>
    </w:rPr>
  </w:style>
  <w:style w:type="character" w:customStyle="1" w:styleId="artauthors">
    <w:name w:val="art_authors"/>
    <w:basedOn w:val="DefaultParagraphFont"/>
    <w:rsid w:val="0013118E"/>
  </w:style>
  <w:style w:type="character" w:customStyle="1" w:styleId="year">
    <w:name w:val="year"/>
    <w:basedOn w:val="DefaultParagraphFont"/>
    <w:rsid w:val="0013118E"/>
  </w:style>
  <w:style w:type="character" w:customStyle="1" w:styleId="journalname">
    <w:name w:val="journalname"/>
    <w:basedOn w:val="DefaultParagraphFont"/>
    <w:rsid w:val="0013118E"/>
  </w:style>
  <w:style w:type="character" w:customStyle="1" w:styleId="volume">
    <w:name w:val="volume"/>
    <w:basedOn w:val="DefaultParagraphFont"/>
    <w:rsid w:val="0013118E"/>
  </w:style>
  <w:style w:type="character" w:customStyle="1" w:styleId="page">
    <w:name w:val="page"/>
    <w:basedOn w:val="DefaultParagraphFont"/>
    <w:rsid w:val="001311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878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doi.org/10.1175/MWR-D-19-0136.1"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2010-year%20warm-season%20climatology%20of%20horizontal%20convective%20rolls%20and%20cellular%20convection%20in%20central%20Oklahoma." TargetMode="External"/><Relationship Id="rId5" Type="http://schemas.openxmlformats.org/officeDocument/2006/relationships/hyperlink" Target="https://doi.org/10.1175/JTECH-D-17-0210.1" TargetMode="External"/><Relationship Id="rId4" Type="http://schemas.openxmlformats.org/officeDocument/2006/relationships/hyperlink" Target="https://journals.ametsoc.org/doi/abs/10.1175/JTECH-D-17-0210.1" TargetMode="Externa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2</Pages>
  <Words>710</Words>
  <Characters>4052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Stensrud, David Jonathan</dc:creator>
  <cp:keywords/>
  <dc:description/>
  <cp:lastModifiedBy>Stensrud, David Jonathan</cp:lastModifiedBy>
  <cp:revision>2</cp:revision>
  <dcterms:created xsi:type="dcterms:W3CDTF">2020-05-28T16:52:00Z</dcterms:created>
  <dcterms:modified xsi:type="dcterms:W3CDTF">2020-05-28T18:21:00Z</dcterms:modified>
</cp:coreProperties>
</file>